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5DE9F" w14:textId="77777777" w:rsidR="00D43D5A" w:rsidRPr="005257C3" w:rsidRDefault="00D43D5A" w:rsidP="00D43D5A">
      <w:pPr>
        <w:pStyle w:val="Nazivinstitucije"/>
        <w:spacing w:line="360" w:lineRule="auto"/>
        <w:rPr>
          <w:sz w:val="28"/>
        </w:rPr>
      </w:pPr>
      <w:r w:rsidRPr="005257C3">
        <w:rPr>
          <w:sz w:val="28"/>
        </w:rPr>
        <w:t>SVEUČILIŠTE U ZAGREBU</w:t>
      </w:r>
    </w:p>
    <w:p w14:paraId="048A3209" w14:textId="77777777" w:rsidR="00D43D5A" w:rsidRPr="005257C3" w:rsidRDefault="00D43D5A" w:rsidP="00D43D5A">
      <w:pPr>
        <w:pStyle w:val="Nazivinstitucije"/>
        <w:spacing w:line="360" w:lineRule="auto"/>
        <w:rPr>
          <w:sz w:val="28"/>
        </w:rPr>
      </w:pPr>
      <w:r w:rsidRPr="005257C3">
        <w:rPr>
          <w:sz w:val="28"/>
        </w:rPr>
        <w:t>FAKULTET ORGANIZACIJE I INFORMATIKE</w:t>
      </w:r>
    </w:p>
    <w:p w14:paraId="44AE468E" w14:textId="77777777" w:rsidR="00D43D5A" w:rsidRPr="005257C3" w:rsidRDefault="00D43D5A" w:rsidP="00D43D5A">
      <w:pPr>
        <w:pStyle w:val="Nazivinstitucije"/>
        <w:spacing w:line="360" w:lineRule="auto"/>
        <w:rPr>
          <w:sz w:val="28"/>
        </w:rPr>
      </w:pPr>
      <w:r w:rsidRPr="005257C3">
        <w:rPr>
          <w:sz w:val="28"/>
        </w:rPr>
        <w:t>V A R A Ž D I N</w:t>
      </w:r>
    </w:p>
    <w:p w14:paraId="6CD593C5" w14:textId="77777777" w:rsidR="00D43D5A" w:rsidRDefault="00D43D5A" w:rsidP="00D43D5A"/>
    <w:p w14:paraId="5892D2C4" w14:textId="77777777" w:rsidR="00D43D5A" w:rsidRDefault="00D43D5A" w:rsidP="00D43D5A"/>
    <w:p w14:paraId="13ACA01E" w14:textId="77777777" w:rsidR="00D43D5A" w:rsidRDefault="00D43D5A" w:rsidP="00D43D5A"/>
    <w:p w14:paraId="60875C7D" w14:textId="77777777" w:rsidR="00D43D5A" w:rsidRDefault="00D43D5A" w:rsidP="00D43D5A">
      <w:pPr>
        <w:rPr>
          <w:b/>
          <w:sz w:val="28"/>
        </w:rPr>
      </w:pPr>
    </w:p>
    <w:p w14:paraId="43F40D17" w14:textId="77777777" w:rsidR="00D43D5A" w:rsidRDefault="00D43D5A" w:rsidP="00D43D5A">
      <w:pPr>
        <w:rPr>
          <w:b/>
          <w:sz w:val="28"/>
        </w:rPr>
      </w:pPr>
    </w:p>
    <w:p w14:paraId="04A6F17E" w14:textId="77777777" w:rsidR="00D43D5A" w:rsidRPr="007861F9" w:rsidRDefault="00D43D5A" w:rsidP="00D43D5A">
      <w:pPr>
        <w:rPr>
          <w:b/>
          <w:sz w:val="32"/>
        </w:rPr>
      </w:pPr>
      <w:r>
        <w:rPr>
          <w:b/>
          <w:sz w:val="32"/>
        </w:rPr>
        <w:t>Jure Marinov</w:t>
      </w:r>
    </w:p>
    <w:p w14:paraId="138B22DA" w14:textId="77777777" w:rsidR="00D43D5A" w:rsidRDefault="00D43D5A" w:rsidP="00D43D5A"/>
    <w:p w14:paraId="5BC4C1E3" w14:textId="77777777" w:rsidR="00D43D5A" w:rsidRDefault="00D43D5A" w:rsidP="00D43D5A"/>
    <w:p w14:paraId="264F0040" w14:textId="77777777" w:rsidR="00D43D5A" w:rsidRDefault="00D43D5A" w:rsidP="00D43D5A"/>
    <w:p w14:paraId="3FC96879" w14:textId="77777777" w:rsidR="00D43D5A" w:rsidRDefault="00D43D5A" w:rsidP="00D43D5A"/>
    <w:p w14:paraId="2CB9BFE7" w14:textId="77777777" w:rsidR="00D43D5A" w:rsidRDefault="00D43D5A" w:rsidP="00D43D5A"/>
    <w:p w14:paraId="6D03C181" w14:textId="77777777" w:rsidR="00D43D5A" w:rsidRDefault="00D43D5A" w:rsidP="00D43D5A"/>
    <w:p w14:paraId="442361BB" w14:textId="77777777" w:rsidR="00D43D5A" w:rsidRDefault="00D43D5A" w:rsidP="00D43D5A"/>
    <w:p w14:paraId="1C69241E" w14:textId="77777777" w:rsidR="00D43D5A" w:rsidRDefault="00D43D5A" w:rsidP="00D43D5A"/>
    <w:p w14:paraId="089B5CEE" w14:textId="77777777" w:rsidR="00D43D5A" w:rsidRDefault="00D43D5A" w:rsidP="00D43D5A"/>
    <w:p w14:paraId="4B48DB9F" w14:textId="77777777" w:rsidR="00D43D5A" w:rsidRDefault="00D43D5A" w:rsidP="00D43D5A">
      <w:pPr>
        <w:pStyle w:val="Naslovzavrnograda"/>
        <w:jc w:val="left"/>
        <w:rPr>
          <w:rFonts w:ascii="Times New Roman" w:hAnsi="Times New Roman"/>
        </w:rPr>
      </w:pPr>
    </w:p>
    <w:p w14:paraId="451E2F57" w14:textId="77777777" w:rsidR="00D43D5A" w:rsidRDefault="00D43D5A" w:rsidP="00D43D5A">
      <w:pPr>
        <w:pStyle w:val="Naslovzavrnograda"/>
        <w:jc w:val="left"/>
        <w:rPr>
          <w:rFonts w:ascii="Times New Roman" w:hAnsi="Times New Roman"/>
        </w:rPr>
      </w:pPr>
    </w:p>
    <w:p w14:paraId="320AE882" w14:textId="77777777" w:rsidR="00D43D5A" w:rsidRDefault="00D43D5A" w:rsidP="00D43D5A">
      <w:pPr>
        <w:jc w:val="center"/>
      </w:pPr>
      <w:r w:rsidRPr="00FF75AE">
        <w:rPr>
          <w:rFonts w:ascii="Arial" w:hAnsi="Arial" w:cs="Arial"/>
          <w:b/>
          <w:sz w:val="44"/>
        </w:rPr>
        <w:t>Sustav TQM u organizaciji</w:t>
      </w:r>
    </w:p>
    <w:p w14:paraId="67869D23" w14:textId="77777777" w:rsidR="00D43D5A" w:rsidRDefault="00D43D5A" w:rsidP="00D43D5A">
      <w:pPr>
        <w:pStyle w:val="ZAVRNIRAD"/>
      </w:pPr>
      <w:r>
        <w:rPr>
          <w:sz w:val="28"/>
        </w:rPr>
        <w:t>seminarski rad</w:t>
      </w:r>
    </w:p>
    <w:p w14:paraId="324746B8" w14:textId="77777777" w:rsidR="00D43D5A" w:rsidRDefault="00D43D5A" w:rsidP="00D43D5A">
      <w:pPr>
        <w:jc w:val="center"/>
      </w:pPr>
    </w:p>
    <w:p w14:paraId="7370D61C" w14:textId="77777777" w:rsidR="00D43D5A" w:rsidRDefault="00D43D5A" w:rsidP="00D43D5A">
      <w:pPr>
        <w:jc w:val="center"/>
      </w:pPr>
    </w:p>
    <w:p w14:paraId="4AD2E522" w14:textId="77777777" w:rsidR="00D43D5A" w:rsidRDefault="00D43D5A" w:rsidP="00D43D5A">
      <w:pPr>
        <w:jc w:val="center"/>
      </w:pPr>
    </w:p>
    <w:p w14:paraId="17AD3806" w14:textId="77777777" w:rsidR="00D43D5A" w:rsidRDefault="00D43D5A" w:rsidP="00D43D5A">
      <w:pPr>
        <w:jc w:val="center"/>
      </w:pPr>
    </w:p>
    <w:p w14:paraId="6B4AFC85" w14:textId="77777777" w:rsidR="00D43D5A" w:rsidRDefault="00D43D5A" w:rsidP="00D43D5A">
      <w:pPr>
        <w:jc w:val="center"/>
      </w:pPr>
    </w:p>
    <w:p w14:paraId="36C658F4" w14:textId="77777777" w:rsidR="00D43D5A" w:rsidRDefault="00D43D5A" w:rsidP="00D43D5A">
      <w:pPr>
        <w:jc w:val="center"/>
      </w:pPr>
    </w:p>
    <w:p w14:paraId="724F4C00" w14:textId="77777777" w:rsidR="00D43D5A" w:rsidRDefault="00D43D5A" w:rsidP="00D43D5A">
      <w:pPr>
        <w:jc w:val="center"/>
      </w:pPr>
    </w:p>
    <w:p w14:paraId="67238127" w14:textId="77777777" w:rsidR="00D43D5A" w:rsidRDefault="00D43D5A" w:rsidP="00D43D5A">
      <w:pPr>
        <w:jc w:val="center"/>
      </w:pPr>
    </w:p>
    <w:p w14:paraId="581E9766" w14:textId="77777777" w:rsidR="00D43D5A" w:rsidRDefault="00D43D5A" w:rsidP="00D43D5A">
      <w:pPr>
        <w:jc w:val="center"/>
      </w:pPr>
    </w:p>
    <w:p w14:paraId="28A302EA" w14:textId="77777777" w:rsidR="00D43D5A" w:rsidRDefault="00D43D5A" w:rsidP="00D43D5A">
      <w:pPr>
        <w:jc w:val="center"/>
      </w:pPr>
    </w:p>
    <w:p w14:paraId="10B3A334" w14:textId="77777777" w:rsidR="00D43D5A" w:rsidRDefault="00D43D5A" w:rsidP="00D43D5A">
      <w:pPr>
        <w:jc w:val="center"/>
      </w:pPr>
    </w:p>
    <w:p w14:paraId="5688AD59" w14:textId="77777777" w:rsidR="00D43D5A" w:rsidRDefault="00D43D5A" w:rsidP="00D43D5A"/>
    <w:p w14:paraId="546F16A8" w14:textId="77777777" w:rsidR="00D43D5A" w:rsidRDefault="00D43D5A" w:rsidP="00D43D5A">
      <w:pPr>
        <w:jc w:val="center"/>
      </w:pPr>
    </w:p>
    <w:p w14:paraId="44C51761" w14:textId="77777777" w:rsidR="00D43D5A" w:rsidRDefault="00D43D5A" w:rsidP="00D43D5A">
      <w:pPr>
        <w:jc w:val="center"/>
      </w:pPr>
    </w:p>
    <w:p w14:paraId="581EB0BD" w14:textId="77777777" w:rsidR="00D43D5A" w:rsidRDefault="00D43D5A" w:rsidP="00D43D5A">
      <w:pPr>
        <w:jc w:val="center"/>
      </w:pPr>
    </w:p>
    <w:p w14:paraId="2C6F2DF6" w14:textId="77777777" w:rsidR="00D43D5A" w:rsidRDefault="00D43D5A" w:rsidP="00D43D5A">
      <w:pPr>
        <w:jc w:val="center"/>
      </w:pPr>
    </w:p>
    <w:p w14:paraId="4042EE0A" w14:textId="77777777" w:rsidR="00D43D5A" w:rsidRDefault="00D43D5A" w:rsidP="00D43D5A">
      <w:pPr>
        <w:jc w:val="center"/>
      </w:pPr>
    </w:p>
    <w:p w14:paraId="62B2CDE6" w14:textId="77777777" w:rsidR="00D43D5A" w:rsidRDefault="00D43D5A" w:rsidP="00D43D5A">
      <w:pPr>
        <w:pStyle w:val="Mjesto"/>
      </w:pPr>
    </w:p>
    <w:p w14:paraId="0091C959" w14:textId="77777777" w:rsidR="00D43D5A" w:rsidRDefault="00D43D5A" w:rsidP="00D43D5A">
      <w:pPr>
        <w:pStyle w:val="Mjesto"/>
      </w:pPr>
    </w:p>
    <w:p w14:paraId="73E6182C" w14:textId="77777777" w:rsidR="00D43D5A" w:rsidRDefault="00D43D5A" w:rsidP="00D43D5A">
      <w:pPr>
        <w:pStyle w:val="Mjesto"/>
      </w:pPr>
    </w:p>
    <w:p w14:paraId="5D3A3CB4" w14:textId="77777777" w:rsidR="00D43D5A" w:rsidRDefault="00D43D5A" w:rsidP="00D43D5A">
      <w:pPr>
        <w:pStyle w:val="Mjesto"/>
      </w:pPr>
    </w:p>
    <w:p w14:paraId="1E37C05A" w14:textId="77777777" w:rsidR="00D43D5A" w:rsidRDefault="00D43D5A" w:rsidP="00D43D5A">
      <w:pPr>
        <w:pStyle w:val="Mjesto"/>
      </w:pPr>
      <w:r w:rsidRPr="005257C3">
        <w:rPr>
          <w:sz w:val="28"/>
        </w:rPr>
        <w:t>Varaždin, 20</w:t>
      </w:r>
      <w:r>
        <w:rPr>
          <w:sz w:val="28"/>
        </w:rPr>
        <w:t>23</w:t>
      </w:r>
      <w:r w:rsidRPr="005257C3">
        <w:rPr>
          <w:sz w:val="28"/>
        </w:rPr>
        <w:t>.</w:t>
      </w:r>
    </w:p>
    <w:p w14:paraId="5C34D753" w14:textId="77777777" w:rsidR="00D43D5A" w:rsidRPr="00A24C5C" w:rsidRDefault="00365B40" w:rsidP="00D43D5A">
      <w:pPr>
        <w:pStyle w:val="Nazivinstitucije"/>
        <w:spacing w:line="360" w:lineRule="auto"/>
        <w:rPr>
          <w:sz w:val="28"/>
        </w:rPr>
      </w:pPr>
      <w:r>
        <w:br w:type="page"/>
      </w:r>
      <w:r w:rsidR="00D43D5A" w:rsidRPr="00A24C5C">
        <w:rPr>
          <w:sz w:val="28"/>
        </w:rPr>
        <w:lastRenderedPageBreak/>
        <w:t>SVEUČILIŠTE U ZAGREBU</w:t>
      </w:r>
    </w:p>
    <w:p w14:paraId="72357553" w14:textId="77777777" w:rsidR="00D43D5A" w:rsidRPr="00A24C5C" w:rsidRDefault="00D43D5A" w:rsidP="00D43D5A">
      <w:pPr>
        <w:pStyle w:val="Nazivinstitucije"/>
        <w:spacing w:line="360" w:lineRule="auto"/>
        <w:rPr>
          <w:sz w:val="28"/>
        </w:rPr>
      </w:pPr>
      <w:r w:rsidRPr="00A24C5C">
        <w:rPr>
          <w:sz w:val="28"/>
        </w:rPr>
        <w:t>FAKULTET ORGANIZACIJE I INFORMATIKE</w:t>
      </w:r>
    </w:p>
    <w:p w14:paraId="07E2D9C2" w14:textId="77777777" w:rsidR="00D43D5A" w:rsidRPr="00A24C5C" w:rsidRDefault="00D43D5A" w:rsidP="00D43D5A">
      <w:pPr>
        <w:pStyle w:val="Nazivinstitucije"/>
        <w:spacing w:line="360" w:lineRule="auto"/>
        <w:rPr>
          <w:sz w:val="28"/>
        </w:rPr>
      </w:pPr>
      <w:r w:rsidRPr="00A24C5C">
        <w:rPr>
          <w:sz w:val="28"/>
        </w:rPr>
        <w:t>V A R A Ž D I N</w:t>
      </w:r>
    </w:p>
    <w:p w14:paraId="24C88A78" w14:textId="77777777" w:rsidR="00D43D5A" w:rsidRDefault="00D43D5A" w:rsidP="00D43D5A"/>
    <w:p w14:paraId="3C74F0C4" w14:textId="77777777" w:rsidR="00D43D5A" w:rsidRDefault="00D43D5A" w:rsidP="00D43D5A"/>
    <w:p w14:paraId="6D455A81" w14:textId="77777777" w:rsidR="00D43D5A" w:rsidRDefault="00D43D5A" w:rsidP="00D43D5A"/>
    <w:p w14:paraId="18ADF5C3" w14:textId="77777777" w:rsidR="00D43D5A" w:rsidRDefault="00D43D5A" w:rsidP="00D43D5A">
      <w:pPr>
        <w:pStyle w:val="Podaciokandidatu"/>
      </w:pPr>
      <w:r>
        <w:t>Jure Marinov</w:t>
      </w:r>
    </w:p>
    <w:p w14:paraId="64B9E6B8" w14:textId="77777777" w:rsidR="00D43D5A" w:rsidRDefault="00D43D5A" w:rsidP="00D43D5A">
      <w:pPr>
        <w:pStyle w:val="Podaciokandidatu"/>
      </w:pPr>
      <w:r>
        <w:t>Matični broj: 35918/07–R</w:t>
      </w:r>
    </w:p>
    <w:p w14:paraId="4AD5197A" w14:textId="77777777" w:rsidR="00D43D5A" w:rsidRDefault="00D43D5A" w:rsidP="00D43D5A">
      <w:pPr>
        <w:pStyle w:val="Podaciokandidatu"/>
        <w:ind w:left="851" w:hanging="851"/>
      </w:pPr>
      <w:r>
        <w:t xml:space="preserve">Studij: Informacijski sustavi </w:t>
      </w:r>
    </w:p>
    <w:p w14:paraId="6C3F4817" w14:textId="77777777" w:rsidR="00D43D5A" w:rsidRPr="005242ED" w:rsidRDefault="00D43D5A" w:rsidP="00D43D5A">
      <w:pPr>
        <w:pStyle w:val="Podaciokandidatu"/>
        <w:ind w:left="851" w:hanging="143"/>
        <w:rPr>
          <w:i/>
        </w:rPr>
      </w:pPr>
      <w:r>
        <w:t>(</w:t>
      </w:r>
      <w:r w:rsidRPr="006642E4">
        <w:rPr>
          <w:i/>
        </w:rPr>
        <w:t xml:space="preserve">ili Poslovni sustavi, Ekonomika poduzetništva, </w:t>
      </w:r>
      <w:r>
        <w:rPr>
          <w:i/>
        </w:rPr>
        <w:t xml:space="preserve">Primjena </w:t>
      </w:r>
      <w:r w:rsidRPr="006642E4">
        <w:rPr>
          <w:i/>
        </w:rPr>
        <w:t>informacijske tehnologije u poslovanju, Informacijsko i programsko inženjerstvo, Baze podataka, Organizacija poslovnih sustava, Informatika u obrazovanju</w:t>
      </w:r>
      <w:r>
        <w:t>)</w:t>
      </w:r>
    </w:p>
    <w:p w14:paraId="52BD9457" w14:textId="77777777" w:rsidR="00D43D5A" w:rsidRDefault="00D43D5A" w:rsidP="00D43D5A"/>
    <w:p w14:paraId="4DF09C5B" w14:textId="77777777" w:rsidR="00D43D5A" w:rsidRDefault="00D43D5A" w:rsidP="00D43D5A"/>
    <w:p w14:paraId="22AB253A" w14:textId="77777777" w:rsidR="00D43D5A" w:rsidRDefault="00D43D5A" w:rsidP="00D43D5A"/>
    <w:p w14:paraId="1ABFF791" w14:textId="77777777" w:rsidR="00D43D5A" w:rsidRDefault="00D43D5A" w:rsidP="00D43D5A"/>
    <w:p w14:paraId="518932D1" w14:textId="77777777" w:rsidR="00D43D5A" w:rsidRDefault="00D43D5A" w:rsidP="00D43D5A"/>
    <w:p w14:paraId="176F5E29" w14:textId="77777777" w:rsidR="00D43D5A" w:rsidRDefault="00D43D5A" w:rsidP="00D43D5A"/>
    <w:p w14:paraId="267C0364" w14:textId="77777777" w:rsidR="00D43D5A" w:rsidRDefault="00D43D5A" w:rsidP="00D43D5A">
      <w:r>
        <w:br/>
      </w:r>
    </w:p>
    <w:p w14:paraId="7E9AEB84" w14:textId="77777777" w:rsidR="00D43D5A" w:rsidRDefault="00D43D5A" w:rsidP="00D43D5A"/>
    <w:p w14:paraId="184A1F24" w14:textId="77777777" w:rsidR="00D43D5A" w:rsidRDefault="00D43D5A" w:rsidP="00D43D5A">
      <w:pPr>
        <w:jc w:val="center"/>
      </w:pPr>
      <w:r w:rsidRPr="00FF75AE">
        <w:rPr>
          <w:rFonts w:ascii="Arial" w:hAnsi="Arial" w:cs="Arial"/>
          <w:b/>
          <w:sz w:val="44"/>
        </w:rPr>
        <w:t>Sustav TQM u organizaciji</w:t>
      </w:r>
    </w:p>
    <w:p w14:paraId="6E99690A" w14:textId="77777777" w:rsidR="00D43D5A" w:rsidRDefault="00D43D5A" w:rsidP="00D43D5A">
      <w:pPr>
        <w:pStyle w:val="ZAVRNIRAD"/>
      </w:pPr>
      <w:r>
        <w:rPr>
          <w:sz w:val="28"/>
        </w:rPr>
        <w:t>seminarski rad</w:t>
      </w:r>
    </w:p>
    <w:p w14:paraId="0E5F90FC" w14:textId="77777777" w:rsidR="00D43D5A" w:rsidRDefault="00D43D5A" w:rsidP="00D43D5A"/>
    <w:p w14:paraId="0349B9D7" w14:textId="77777777" w:rsidR="00D43D5A" w:rsidRDefault="00D43D5A" w:rsidP="00D43D5A"/>
    <w:p w14:paraId="3E6B199D" w14:textId="77777777" w:rsidR="00D43D5A" w:rsidRDefault="00D43D5A" w:rsidP="00D43D5A">
      <w:pPr>
        <w:pStyle w:val="Mentor"/>
        <w:ind w:left="0"/>
        <w:jc w:val="center"/>
      </w:pPr>
      <w:r>
        <w:t xml:space="preserve">                                                                   </w:t>
      </w:r>
    </w:p>
    <w:p w14:paraId="2DC271D5" w14:textId="77777777" w:rsidR="00D43D5A" w:rsidRDefault="00D43D5A" w:rsidP="00D43D5A">
      <w:pPr>
        <w:pStyle w:val="Mentor"/>
        <w:ind w:left="0"/>
        <w:jc w:val="center"/>
      </w:pPr>
    </w:p>
    <w:p w14:paraId="1795C209" w14:textId="77777777" w:rsidR="00D43D5A" w:rsidRDefault="00D43D5A" w:rsidP="00D43D5A">
      <w:pPr>
        <w:pStyle w:val="Mentor"/>
        <w:tabs>
          <w:tab w:val="left" w:pos="7371"/>
        </w:tabs>
        <w:ind w:left="6379" w:right="1701" w:firstLine="142"/>
        <w:jc w:val="right"/>
      </w:pPr>
      <w:r>
        <w:t xml:space="preserve">                                                                             Mentor:</w:t>
      </w:r>
    </w:p>
    <w:p w14:paraId="67419BF3" w14:textId="77777777" w:rsidR="00D43D5A" w:rsidRDefault="00D43D5A" w:rsidP="00D43D5A">
      <w:pPr>
        <w:pStyle w:val="Podaciomentoru"/>
        <w:ind w:left="6521"/>
        <w:jc w:val="left"/>
      </w:pPr>
      <w:r>
        <w:t>Prof .dr.sc. Robert Fabac</w:t>
      </w:r>
    </w:p>
    <w:p w14:paraId="5B089A75" w14:textId="77777777" w:rsidR="00D43D5A" w:rsidRDefault="00D43D5A" w:rsidP="00D43D5A">
      <w:pPr>
        <w:jc w:val="center"/>
      </w:pPr>
    </w:p>
    <w:p w14:paraId="741A6AE5" w14:textId="77777777" w:rsidR="00D43D5A" w:rsidRDefault="00D43D5A" w:rsidP="00D43D5A">
      <w:pPr>
        <w:pStyle w:val="Mjesto"/>
        <w:jc w:val="left"/>
      </w:pPr>
    </w:p>
    <w:p w14:paraId="3483BEB7" w14:textId="77777777" w:rsidR="00D43D5A" w:rsidRDefault="00D43D5A" w:rsidP="00D43D5A">
      <w:pPr>
        <w:pStyle w:val="Mjesto"/>
      </w:pPr>
    </w:p>
    <w:p w14:paraId="3D383F22" w14:textId="77777777" w:rsidR="00D43D5A" w:rsidRDefault="00D43D5A" w:rsidP="00D43D5A">
      <w:pPr>
        <w:pStyle w:val="Mjesto"/>
      </w:pPr>
    </w:p>
    <w:p w14:paraId="31DACE39" w14:textId="77777777" w:rsidR="00D43D5A" w:rsidRDefault="00D43D5A" w:rsidP="00D43D5A">
      <w:pPr>
        <w:pStyle w:val="Mjesto"/>
      </w:pPr>
    </w:p>
    <w:p w14:paraId="32263680" w14:textId="77777777" w:rsidR="00D43D5A" w:rsidRDefault="00D43D5A" w:rsidP="00D43D5A">
      <w:pPr>
        <w:pStyle w:val="Mjesto"/>
      </w:pPr>
    </w:p>
    <w:p w14:paraId="7F05A583" w14:textId="77777777" w:rsidR="00D43D5A" w:rsidRDefault="00D43D5A" w:rsidP="00D43D5A">
      <w:pPr>
        <w:pStyle w:val="Mjesto"/>
        <w:rPr>
          <w:sz w:val="28"/>
        </w:rPr>
      </w:pPr>
    </w:p>
    <w:p w14:paraId="16AB8AB4" w14:textId="77777777" w:rsidR="00D43D5A" w:rsidRDefault="00D43D5A" w:rsidP="00D43D5A">
      <w:pPr>
        <w:pStyle w:val="Mjesto"/>
        <w:rPr>
          <w:sz w:val="28"/>
        </w:rPr>
      </w:pPr>
    </w:p>
    <w:p w14:paraId="4DF4D576" w14:textId="77777777" w:rsidR="00D43D5A" w:rsidRDefault="00D43D5A" w:rsidP="00D43D5A">
      <w:pPr>
        <w:pStyle w:val="Mjesto"/>
        <w:rPr>
          <w:sz w:val="28"/>
        </w:rPr>
      </w:pPr>
    </w:p>
    <w:p w14:paraId="44ADE0F1" w14:textId="77777777" w:rsidR="00D43D5A" w:rsidRPr="005257C3" w:rsidRDefault="00D43D5A" w:rsidP="00D43D5A">
      <w:pPr>
        <w:pStyle w:val="Mjesto"/>
        <w:rPr>
          <w:sz w:val="28"/>
        </w:rPr>
        <w:sectPr w:rsidR="00D43D5A" w:rsidRPr="005257C3" w:rsidSect="00036F66">
          <w:footerReference w:type="default" r:id="rId8"/>
          <w:pgSz w:w="11906" w:h="16838"/>
          <w:pgMar w:top="1417" w:right="1417" w:bottom="1417" w:left="1417" w:header="708" w:footer="708" w:gutter="0"/>
          <w:cols w:space="708"/>
          <w:docGrid w:linePitch="360"/>
        </w:sectPr>
      </w:pPr>
      <w:r>
        <w:rPr>
          <w:sz w:val="28"/>
        </w:rPr>
        <w:t>Varaždin, svibanj 2023.</w:t>
      </w:r>
    </w:p>
    <w:p w14:paraId="2AF737AC" w14:textId="5D9B458E" w:rsidR="00EA7310" w:rsidRDefault="00EA7310" w:rsidP="00D43D5A">
      <w:pPr>
        <w:pStyle w:val="Nazivinstitucije"/>
        <w:spacing w:line="360" w:lineRule="auto"/>
      </w:pPr>
    </w:p>
    <w:p w14:paraId="691F9DF2" w14:textId="77777777" w:rsidR="00BB2366" w:rsidRPr="0015288B" w:rsidRDefault="00BB2366" w:rsidP="0015288B">
      <w:pPr>
        <w:pStyle w:val="TOC1"/>
        <w:rPr>
          <w:b/>
          <w:sz w:val="36"/>
          <w:szCs w:val="36"/>
        </w:rPr>
      </w:pPr>
      <w:r w:rsidRPr="0015288B">
        <w:rPr>
          <w:b/>
          <w:sz w:val="36"/>
          <w:szCs w:val="36"/>
        </w:rPr>
        <w:t>Sadržaj</w:t>
      </w:r>
    </w:p>
    <w:p w14:paraId="7CFB2C4B" w14:textId="77777777" w:rsidR="00BB2366" w:rsidRPr="00BB2366" w:rsidRDefault="00BB2366" w:rsidP="00BB2366"/>
    <w:p w14:paraId="4ADF4237" w14:textId="77777777" w:rsidR="0079623B" w:rsidRDefault="00F518DC">
      <w:pPr>
        <w:pStyle w:val="TOC1"/>
        <w:rPr>
          <w:rFonts w:asciiTheme="minorHAnsi" w:eastAsiaTheme="minorEastAsia" w:hAnsiTheme="minorHAnsi" w:cstheme="minorBidi"/>
          <w:noProof/>
          <w:sz w:val="22"/>
          <w:szCs w:val="22"/>
        </w:rPr>
      </w:pPr>
      <w:r>
        <w:fldChar w:fldCharType="begin"/>
      </w:r>
      <w:r w:rsidR="00BB2366">
        <w:instrText xml:space="preserve"> TOC \h \z \t "FOI Naslov 1;1;FOI Naslov 2;2;FOI Naslov 3;3;FOI Naslov 4;4" </w:instrText>
      </w:r>
      <w:r>
        <w:fldChar w:fldCharType="separate"/>
      </w:r>
      <w:hyperlink w:anchor="_Toc365454895" w:history="1">
        <w:r w:rsidR="0079623B" w:rsidRPr="00811AE8">
          <w:rPr>
            <w:rStyle w:val="Hyperlink"/>
            <w:noProof/>
          </w:rPr>
          <w:t>1.</w:t>
        </w:r>
        <w:r w:rsidR="0079623B">
          <w:rPr>
            <w:rFonts w:asciiTheme="minorHAnsi" w:eastAsiaTheme="minorEastAsia" w:hAnsiTheme="minorHAnsi" w:cstheme="minorBidi"/>
            <w:noProof/>
            <w:sz w:val="22"/>
            <w:szCs w:val="22"/>
          </w:rPr>
          <w:tab/>
        </w:r>
        <w:r w:rsidR="0079623B" w:rsidRPr="00811AE8">
          <w:rPr>
            <w:rStyle w:val="Hyperlink"/>
            <w:noProof/>
          </w:rPr>
          <w:t>Uvod</w:t>
        </w:r>
        <w:r w:rsidR="0079623B">
          <w:rPr>
            <w:noProof/>
            <w:webHidden/>
          </w:rPr>
          <w:tab/>
        </w:r>
        <w:r w:rsidR="0079623B">
          <w:rPr>
            <w:noProof/>
            <w:webHidden/>
          </w:rPr>
          <w:fldChar w:fldCharType="begin"/>
        </w:r>
        <w:r w:rsidR="0079623B">
          <w:rPr>
            <w:noProof/>
            <w:webHidden/>
          </w:rPr>
          <w:instrText xml:space="preserve"> PAGEREF _Toc365454895 \h </w:instrText>
        </w:r>
        <w:r w:rsidR="0079623B">
          <w:rPr>
            <w:noProof/>
            <w:webHidden/>
          </w:rPr>
        </w:r>
        <w:r w:rsidR="0079623B">
          <w:rPr>
            <w:noProof/>
            <w:webHidden/>
          </w:rPr>
          <w:fldChar w:fldCharType="separate"/>
        </w:r>
        <w:r w:rsidR="0079623B">
          <w:rPr>
            <w:noProof/>
            <w:webHidden/>
          </w:rPr>
          <w:t>1</w:t>
        </w:r>
        <w:r w:rsidR="0079623B">
          <w:rPr>
            <w:noProof/>
            <w:webHidden/>
          </w:rPr>
          <w:fldChar w:fldCharType="end"/>
        </w:r>
      </w:hyperlink>
    </w:p>
    <w:p w14:paraId="71FC1351" w14:textId="47379CD8" w:rsidR="0079623B" w:rsidRDefault="00000000">
      <w:pPr>
        <w:pStyle w:val="TOC1"/>
        <w:rPr>
          <w:rFonts w:asciiTheme="minorHAnsi" w:eastAsiaTheme="minorEastAsia" w:hAnsiTheme="minorHAnsi" w:cstheme="minorBidi"/>
          <w:noProof/>
          <w:sz w:val="22"/>
          <w:szCs w:val="22"/>
        </w:rPr>
      </w:pPr>
      <w:hyperlink w:anchor="_Toc365454896" w:history="1">
        <w:r w:rsidR="0079623B" w:rsidRPr="00811AE8">
          <w:rPr>
            <w:rStyle w:val="Hyperlink"/>
            <w:noProof/>
          </w:rPr>
          <w:t>2.</w:t>
        </w:r>
        <w:r w:rsidR="0079623B">
          <w:rPr>
            <w:rFonts w:asciiTheme="minorHAnsi" w:eastAsiaTheme="minorEastAsia" w:hAnsiTheme="minorHAnsi" w:cstheme="minorBidi"/>
            <w:noProof/>
            <w:sz w:val="22"/>
            <w:szCs w:val="22"/>
          </w:rPr>
          <w:tab/>
        </w:r>
        <w:r w:rsidR="0019645F">
          <w:rPr>
            <w:rFonts w:asciiTheme="minorHAnsi" w:eastAsiaTheme="minorEastAsia" w:hAnsiTheme="minorHAnsi" w:cstheme="minorBidi"/>
            <w:noProof/>
          </w:rPr>
          <w:t>Povijest TQM-a</w:t>
        </w:r>
        <w:r w:rsidR="0079623B">
          <w:rPr>
            <w:noProof/>
            <w:webHidden/>
          </w:rPr>
          <w:tab/>
        </w:r>
        <w:r w:rsidR="0079623B">
          <w:rPr>
            <w:noProof/>
            <w:webHidden/>
          </w:rPr>
          <w:fldChar w:fldCharType="begin"/>
        </w:r>
        <w:r w:rsidR="0079623B">
          <w:rPr>
            <w:noProof/>
            <w:webHidden/>
          </w:rPr>
          <w:instrText xml:space="preserve"> PAGEREF _Toc365454896 \h </w:instrText>
        </w:r>
        <w:r w:rsidR="0079623B">
          <w:rPr>
            <w:noProof/>
            <w:webHidden/>
          </w:rPr>
        </w:r>
        <w:r w:rsidR="0079623B">
          <w:rPr>
            <w:noProof/>
            <w:webHidden/>
          </w:rPr>
          <w:fldChar w:fldCharType="separate"/>
        </w:r>
        <w:r w:rsidR="0079623B">
          <w:rPr>
            <w:noProof/>
            <w:webHidden/>
          </w:rPr>
          <w:t>2</w:t>
        </w:r>
        <w:r w:rsidR="0079623B">
          <w:rPr>
            <w:noProof/>
            <w:webHidden/>
          </w:rPr>
          <w:fldChar w:fldCharType="end"/>
        </w:r>
      </w:hyperlink>
    </w:p>
    <w:p w14:paraId="4EAAE040" w14:textId="5C628233" w:rsidR="0079623B" w:rsidRDefault="00000000">
      <w:pPr>
        <w:pStyle w:val="TOC1"/>
        <w:rPr>
          <w:noProof/>
        </w:rPr>
      </w:pPr>
      <w:hyperlink w:anchor="_Toc365454900" w:history="1">
        <w:r w:rsidR="0079623B" w:rsidRPr="00811AE8">
          <w:rPr>
            <w:rStyle w:val="Hyperlink"/>
            <w:noProof/>
          </w:rPr>
          <w:t>3.</w:t>
        </w:r>
        <w:r w:rsidR="0079623B">
          <w:rPr>
            <w:rFonts w:asciiTheme="minorHAnsi" w:eastAsiaTheme="minorEastAsia" w:hAnsiTheme="minorHAnsi" w:cstheme="minorBidi"/>
            <w:noProof/>
            <w:sz w:val="22"/>
            <w:szCs w:val="22"/>
          </w:rPr>
          <w:tab/>
        </w:r>
        <w:r w:rsidR="0019645F">
          <w:rPr>
            <w:rStyle w:val="Hyperlink"/>
            <w:noProof/>
          </w:rPr>
          <w:t>Primarna načela upravljanja kvalitetom</w:t>
        </w:r>
        <w:r w:rsidR="0079623B">
          <w:rPr>
            <w:noProof/>
            <w:webHidden/>
          </w:rPr>
          <w:tab/>
        </w:r>
        <w:r w:rsidR="0019645F">
          <w:rPr>
            <w:noProof/>
            <w:webHidden/>
          </w:rPr>
          <w:t>2</w:t>
        </w:r>
      </w:hyperlink>
    </w:p>
    <w:p w14:paraId="3853686C" w14:textId="1BA39451" w:rsidR="0019645F" w:rsidRDefault="00000000" w:rsidP="0019645F">
      <w:pPr>
        <w:pStyle w:val="TOC2"/>
        <w:rPr>
          <w:noProof/>
        </w:rPr>
      </w:pPr>
      <w:hyperlink w:anchor="_Toc365454897" w:history="1">
        <w:r w:rsidR="0019645F">
          <w:rPr>
            <w:rStyle w:val="Hyperlink"/>
            <w:noProof/>
          </w:rPr>
          <w:t>3</w:t>
        </w:r>
        <w:r w:rsidR="0019645F" w:rsidRPr="00811AE8">
          <w:rPr>
            <w:rStyle w:val="Hyperlink"/>
            <w:noProof/>
          </w:rPr>
          <w:t>.1.</w:t>
        </w:r>
        <w:r w:rsidR="0019645F">
          <w:rPr>
            <w:rFonts w:asciiTheme="minorHAnsi" w:eastAsiaTheme="minorEastAsia" w:hAnsiTheme="minorHAnsi" w:cstheme="minorBidi"/>
            <w:noProof/>
            <w:sz w:val="22"/>
            <w:szCs w:val="22"/>
          </w:rPr>
          <w:tab/>
        </w:r>
        <w:r w:rsidR="0019645F">
          <w:rPr>
            <w:rStyle w:val="Hyperlink"/>
            <w:noProof/>
          </w:rPr>
          <w:t>Fokus na kupca</w:t>
        </w:r>
        <w:r w:rsidR="0019645F">
          <w:rPr>
            <w:noProof/>
            <w:webHidden/>
          </w:rPr>
          <w:tab/>
        </w:r>
        <w:r w:rsidR="0019645F">
          <w:rPr>
            <w:noProof/>
            <w:webHidden/>
          </w:rPr>
          <w:fldChar w:fldCharType="begin"/>
        </w:r>
        <w:r w:rsidR="0019645F">
          <w:rPr>
            <w:noProof/>
            <w:webHidden/>
          </w:rPr>
          <w:instrText xml:space="preserve"> PAGEREF _Toc365454897 \h </w:instrText>
        </w:r>
        <w:r w:rsidR="0019645F">
          <w:rPr>
            <w:noProof/>
            <w:webHidden/>
          </w:rPr>
        </w:r>
        <w:r w:rsidR="0019645F">
          <w:rPr>
            <w:noProof/>
            <w:webHidden/>
          </w:rPr>
          <w:fldChar w:fldCharType="separate"/>
        </w:r>
        <w:r w:rsidR="0019645F">
          <w:rPr>
            <w:noProof/>
            <w:webHidden/>
          </w:rPr>
          <w:t>2</w:t>
        </w:r>
        <w:r w:rsidR="0019645F">
          <w:rPr>
            <w:noProof/>
            <w:webHidden/>
          </w:rPr>
          <w:fldChar w:fldCharType="end"/>
        </w:r>
      </w:hyperlink>
    </w:p>
    <w:p w14:paraId="162A68A4" w14:textId="25908793" w:rsidR="0019645F" w:rsidRDefault="00000000" w:rsidP="0019645F">
      <w:pPr>
        <w:pStyle w:val="TOC2"/>
        <w:rPr>
          <w:rFonts w:asciiTheme="minorHAnsi" w:eastAsiaTheme="minorEastAsia" w:hAnsiTheme="minorHAnsi" w:cstheme="minorBidi"/>
          <w:noProof/>
          <w:sz w:val="22"/>
          <w:szCs w:val="22"/>
        </w:rPr>
      </w:pPr>
      <w:hyperlink w:anchor="_Toc365454897" w:history="1">
        <w:r w:rsidR="0019645F">
          <w:rPr>
            <w:rStyle w:val="Hyperlink"/>
            <w:noProof/>
          </w:rPr>
          <w:t>3</w:t>
        </w:r>
        <w:r w:rsidR="0019645F" w:rsidRPr="00811AE8">
          <w:rPr>
            <w:rStyle w:val="Hyperlink"/>
            <w:noProof/>
          </w:rPr>
          <w:t>.</w:t>
        </w:r>
        <w:r w:rsidR="0019645F">
          <w:rPr>
            <w:rStyle w:val="Hyperlink"/>
            <w:noProof/>
          </w:rPr>
          <w:t>2</w:t>
        </w:r>
        <w:r w:rsidR="0019645F" w:rsidRPr="00811AE8">
          <w:rPr>
            <w:rStyle w:val="Hyperlink"/>
            <w:noProof/>
          </w:rPr>
          <w:t>.</w:t>
        </w:r>
        <w:r w:rsidR="0019645F">
          <w:rPr>
            <w:rFonts w:asciiTheme="minorHAnsi" w:eastAsiaTheme="minorEastAsia" w:hAnsiTheme="minorHAnsi" w:cstheme="minorBidi"/>
            <w:noProof/>
            <w:sz w:val="22"/>
            <w:szCs w:val="22"/>
          </w:rPr>
          <w:tab/>
        </w:r>
        <w:r w:rsidR="0019645F">
          <w:rPr>
            <w:rStyle w:val="Hyperlink"/>
            <w:noProof/>
          </w:rPr>
          <w:t>Kontinuirano poboljšanje</w:t>
        </w:r>
        <w:r w:rsidR="0019645F">
          <w:rPr>
            <w:noProof/>
            <w:webHidden/>
          </w:rPr>
          <w:tab/>
          <w:t>3</w:t>
        </w:r>
      </w:hyperlink>
    </w:p>
    <w:p w14:paraId="73FD1532" w14:textId="04024A0B" w:rsidR="0019645F" w:rsidRDefault="00000000" w:rsidP="0019645F">
      <w:pPr>
        <w:pStyle w:val="TOC2"/>
        <w:rPr>
          <w:rFonts w:asciiTheme="minorHAnsi" w:eastAsiaTheme="minorEastAsia" w:hAnsiTheme="minorHAnsi" w:cstheme="minorBidi"/>
          <w:noProof/>
          <w:sz w:val="22"/>
          <w:szCs w:val="22"/>
        </w:rPr>
      </w:pPr>
      <w:hyperlink w:anchor="_Toc365454897" w:history="1">
        <w:r w:rsidR="0019645F">
          <w:rPr>
            <w:rStyle w:val="Hyperlink"/>
            <w:noProof/>
          </w:rPr>
          <w:t>3</w:t>
        </w:r>
        <w:r w:rsidR="0019645F" w:rsidRPr="00811AE8">
          <w:rPr>
            <w:rStyle w:val="Hyperlink"/>
            <w:noProof/>
          </w:rPr>
          <w:t>.</w:t>
        </w:r>
        <w:r w:rsidR="0019645F">
          <w:rPr>
            <w:rStyle w:val="Hyperlink"/>
            <w:noProof/>
          </w:rPr>
          <w:t>3</w:t>
        </w:r>
        <w:r w:rsidR="0019645F" w:rsidRPr="00811AE8">
          <w:rPr>
            <w:rStyle w:val="Hyperlink"/>
            <w:noProof/>
          </w:rPr>
          <w:t>.</w:t>
        </w:r>
        <w:r w:rsidR="0019645F">
          <w:rPr>
            <w:rFonts w:asciiTheme="minorHAnsi" w:eastAsiaTheme="minorEastAsia" w:hAnsiTheme="minorHAnsi" w:cstheme="minorBidi"/>
            <w:noProof/>
            <w:sz w:val="22"/>
            <w:szCs w:val="22"/>
          </w:rPr>
          <w:tab/>
        </w:r>
        <w:r w:rsidR="00842797">
          <w:rPr>
            <w:rStyle w:val="Hyperlink"/>
            <w:noProof/>
          </w:rPr>
          <w:t>Uključenost svih zaposlenika</w:t>
        </w:r>
        <w:r w:rsidR="0019645F">
          <w:rPr>
            <w:noProof/>
            <w:webHidden/>
          </w:rPr>
          <w:tab/>
        </w:r>
        <w:r w:rsidR="00842797">
          <w:rPr>
            <w:noProof/>
            <w:webHidden/>
          </w:rPr>
          <w:t>4</w:t>
        </w:r>
      </w:hyperlink>
    </w:p>
    <w:p w14:paraId="4F231327" w14:textId="071B6DAB" w:rsidR="0019645F" w:rsidRDefault="00000000" w:rsidP="0019645F">
      <w:pPr>
        <w:pStyle w:val="TOC2"/>
        <w:rPr>
          <w:rFonts w:asciiTheme="minorHAnsi" w:eastAsiaTheme="minorEastAsia" w:hAnsiTheme="minorHAnsi" w:cstheme="minorBidi"/>
          <w:noProof/>
          <w:sz w:val="22"/>
          <w:szCs w:val="22"/>
        </w:rPr>
      </w:pPr>
      <w:hyperlink w:anchor="_Toc365454897" w:history="1">
        <w:r w:rsidR="0019645F">
          <w:rPr>
            <w:rStyle w:val="Hyperlink"/>
            <w:noProof/>
          </w:rPr>
          <w:t>3</w:t>
        </w:r>
        <w:r w:rsidR="0019645F" w:rsidRPr="00811AE8">
          <w:rPr>
            <w:rStyle w:val="Hyperlink"/>
            <w:noProof/>
          </w:rPr>
          <w:t>.</w:t>
        </w:r>
        <w:r w:rsidR="0019645F">
          <w:rPr>
            <w:rStyle w:val="Hyperlink"/>
            <w:noProof/>
          </w:rPr>
          <w:t>4</w:t>
        </w:r>
        <w:r w:rsidR="0019645F" w:rsidRPr="00811AE8">
          <w:rPr>
            <w:rStyle w:val="Hyperlink"/>
            <w:noProof/>
          </w:rPr>
          <w:t>.</w:t>
        </w:r>
        <w:r w:rsidR="0019645F">
          <w:rPr>
            <w:rFonts w:asciiTheme="minorHAnsi" w:eastAsiaTheme="minorEastAsia" w:hAnsiTheme="minorHAnsi" w:cstheme="minorBidi"/>
            <w:noProof/>
            <w:sz w:val="22"/>
            <w:szCs w:val="22"/>
          </w:rPr>
          <w:tab/>
        </w:r>
        <w:r w:rsidR="00842797">
          <w:rPr>
            <w:rStyle w:val="Hyperlink"/>
            <w:noProof/>
          </w:rPr>
          <w:t>Procesni pristup</w:t>
        </w:r>
        <w:r w:rsidR="0019645F">
          <w:rPr>
            <w:noProof/>
            <w:webHidden/>
          </w:rPr>
          <w:tab/>
        </w:r>
        <w:r w:rsidR="00842797">
          <w:rPr>
            <w:noProof/>
            <w:webHidden/>
          </w:rPr>
          <w:t>4</w:t>
        </w:r>
      </w:hyperlink>
    </w:p>
    <w:p w14:paraId="0FA29FE7" w14:textId="0E098883" w:rsidR="0019645F" w:rsidRDefault="00000000" w:rsidP="0019645F">
      <w:pPr>
        <w:pStyle w:val="TOC2"/>
        <w:rPr>
          <w:rFonts w:asciiTheme="minorHAnsi" w:eastAsiaTheme="minorEastAsia" w:hAnsiTheme="minorHAnsi" w:cstheme="minorBidi"/>
          <w:noProof/>
          <w:sz w:val="22"/>
          <w:szCs w:val="22"/>
        </w:rPr>
      </w:pPr>
      <w:hyperlink w:anchor="_Toc365454897" w:history="1">
        <w:r w:rsidR="0019645F">
          <w:rPr>
            <w:rStyle w:val="Hyperlink"/>
            <w:noProof/>
          </w:rPr>
          <w:t>3</w:t>
        </w:r>
        <w:r w:rsidR="0019645F" w:rsidRPr="00811AE8">
          <w:rPr>
            <w:rStyle w:val="Hyperlink"/>
            <w:noProof/>
          </w:rPr>
          <w:t>.</w:t>
        </w:r>
        <w:r w:rsidR="0019645F">
          <w:rPr>
            <w:rStyle w:val="Hyperlink"/>
            <w:noProof/>
          </w:rPr>
          <w:t>5</w:t>
        </w:r>
        <w:r w:rsidR="0019645F" w:rsidRPr="00811AE8">
          <w:rPr>
            <w:rStyle w:val="Hyperlink"/>
            <w:noProof/>
          </w:rPr>
          <w:t>.</w:t>
        </w:r>
        <w:r w:rsidR="0019645F">
          <w:rPr>
            <w:rFonts w:asciiTheme="minorHAnsi" w:eastAsiaTheme="minorEastAsia" w:hAnsiTheme="minorHAnsi" w:cstheme="minorBidi"/>
            <w:noProof/>
            <w:sz w:val="22"/>
            <w:szCs w:val="22"/>
          </w:rPr>
          <w:tab/>
        </w:r>
        <w:r w:rsidR="00842797">
          <w:rPr>
            <w:rStyle w:val="Hyperlink"/>
            <w:noProof/>
          </w:rPr>
          <w:t>Upravljanje uz pomoć podataka i odlučivanje na temelju činjenica</w:t>
        </w:r>
        <w:r w:rsidR="0019645F">
          <w:rPr>
            <w:noProof/>
            <w:webHidden/>
          </w:rPr>
          <w:tab/>
        </w:r>
        <w:r w:rsidR="00842797">
          <w:rPr>
            <w:noProof/>
            <w:webHidden/>
          </w:rPr>
          <w:t>5</w:t>
        </w:r>
      </w:hyperlink>
    </w:p>
    <w:p w14:paraId="6CDD277F" w14:textId="4778EC2A" w:rsidR="0019645F" w:rsidRDefault="00000000" w:rsidP="0019645F">
      <w:pPr>
        <w:pStyle w:val="TOC2"/>
        <w:rPr>
          <w:rFonts w:asciiTheme="minorHAnsi" w:eastAsiaTheme="minorEastAsia" w:hAnsiTheme="minorHAnsi" w:cstheme="minorBidi"/>
          <w:noProof/>
          <w:sz w:val="22"/>
          <w:szCs w:val="22"/>
        </w:rPr>
      </w:pPr>
      <w:hyperlink w:anchor="_Toc365454897" w:history="1">
        <w:r w:rsidR="0019645F">
          <w:rPr>
            <w:rStyle w:val="Hyperlink"/>
            <w:noProof/>
          </w:rPr>
          <w:t>3</w:t>
        </w:r>
        <w:r w:rsidR="0019645F" w:rsidRPr="00811AE8">
          <w:rPr>
            <w:rStyle w:val="Hyperlink"/>
            <w:noProof/>
          </w:rPr>
          <w:t>.</w:t>
        </w:r>
        <w:r w:rsidR="0019645F">
          <w:rPr>
            <w:rStyle w:val="Hyperlink"/>
            <w:noProof/>
          </w:rPr>
          <w:t>6</w:t>
        </w:r>
        <w:r w:rsidR="0019645F" w:rsidRPr="00811AE8">
          <w:rPr>
            <w:rStyle w:val="Hyperlink"/>
            <w:noProof/>
          </w:rPr>
          <w:t>.</w:t>
        </w:r>
        <w:r w:rsidR="0019645F">
          <w:rPr>
            <w:rFonts w:asciiTheme="minorHAnsi" w:eastAsiaTheme="minorEastAsia" w:hAnsiTheme="minorHAnsi" w:cstheme="minorBidi"/>
            <w:noProof/>
            <w:sz w:val="22"/>
            <w:szCs w:val="22"/>
          </w:rPr>
          <w:tab/>
        </w:r>
        <w:r w:rsidR="00842797">
          <w:rPr>
            <w:rStyle w:val="Hyperlink"/>
            <w:noProof/>
          </w:rPr>
          <w:t>Odnos s dobavljačima</w:t>
        </w:r>
        <w:r w:rsidR="0019645F">
          <w:rPr>
            <w:noProof/>
            <w:webHidden/>
          </w:rPr>
          <w:tab/>
        </w:r>
        <w:r w:rsidR="00842797">
          <w:rPr>
            <w:noProof/>
            <w:webHidden/>
          </w:rPr>
          <w:t>6</w:t>
        </w:r>
      </w:hyperlink>
    </w:p>
    <w:p w14:paraId="7B413762" w14:textId="7B341136" w:rsidR="0019645F" w:rsidRDefault="00000000" w:rsidP="0019645F">
      <w:pPr>
        <w:pStyle w:val="TOC2"/>
        <w:rPr>
          <w:rFonts w:asciiTheme="minorHAnsi" w:eastAsiaTheme="minorEastAsia" w:hAnsiTheme="minorHAnsi" w:cstheme="minorBidi"/>
          <w:noProof/>
          <w:sz w:val="22"/>
          <w:szCs w:val="22"/>
        </w:rPr>
      </w:pPr>
      <w:hyperlink w:anchor="_Toc365454897" w:history="1">
        <w:r w:rsidR="0019645F">
          <w:rPr>
            <w:rStyle w:val="Hyperlink"/>
            <w:noProof/>
          </w:rPr>
          <w:t>3</w:t>
        </w:r>
        <w:r w:rsidR="0019645F" w:rsidRPr="00811AE8">
          <w:rPr>
            <w:rStyle w:val="Hyperlink"/>
            <w:noProof/>
          </w:rPr>
          <w:t>.</w:t>
        </w:r>
        <w:r w:rsidR="0019645F">
          <w:rPr>
            <w:rStyle w:val="Hyperlink"/>
            <w:noProof/>
          </w:rPr>
          <w:t>7</w:t>
        </w:r>
        <w:r w:rsidR="0019645F" w:rsidRPr="00811AE8">
          <w:rPr>
            <w:rStyle w:val="Hyperlink"/>
            <w:noProof/>
          </w:rPr>
          <w:t>.</w:t>
        </w:r>
        <w:r w:rsidR="0019645F">
          <w:rPr>
            <w:rFonts w:asciiTheme="minorHAnsi" w:eastAsiaTheme="minorEastAsia" w:hAnsiTheme="minorHAnsi" w:cstheme="minorBidi"/>
            <w:noProof/>
            <w:sz w:val="22"/>
            <w:szCs w:val="22"/>
          </w:rPr>
          <w:tab/>
        </w:r>
        <w:r w:rsidR="004764E4">
          <w:rPr>
            <w:rFonts w:eastAsiaTheme="minorEastAsia"/>
            <w:noProof/>
          </w:rPr>
          <w:t>Sustavni pristup menadćmentu</w:t>
        </w:r>
        <w:r w:rsidR="0019645F">
          <w:rPr>
            <w:noProof/>
            <w:webHidden/>
          </w:rPr>
          <w:tab/>
        </w:r>
        <w:r w:rsidR="004764E4">
          <w:rPr>
            <w:noProof/>
            <w:webHidden/>
          </w:rPr>
          <w:t>7</w:t>
        </w:r>
      </w:hyperlink>
    </w:p>
    <w:p w14:paraId="39268789" w14:textId="5A75A9D8" w:rsidR="0019645F" w:rsidRPr="0019645F" w:rsidRDefault="00000000" w:rsidP="0019645F">
      <w:pPr>
        <w:pStyle w:val="TOC2"/>
        <w:rPr>
          <w:rFonts w:asciiTheme="minorHAnsi" w:eastAsiaTheme="minorEastAsia" w:hAnsiTheme="minorHAnsi" w:cstheme="minorBidi"/>
          <w:noProof/>
          <w:sz w:val="22"/>
          <w:szCs w:val="22"/>
        </w:rPr>
      </w:pPr>
      <w:hyperlink w:anchor="_Toc365454897" w:history="1">
        <w:r w:rsidR="0019645F">
          <w:rPr>
            <w:rStyle w:val="Hyperlink"/>
            <w:noProof/>
          </w:rPr>
          <w:t>3</w:t>
        </w:r>
        <w:r w:rsidR="0019645F" w:rsidRPr="00811AE8">
          <w:rPr>
            <w:rStyle w:val="Hyperlink"/>
            <w:noProof/>
          </w:rPr>
          <w:t>.</w:t>
        </w:r>
        <w:r w:rsidR="0019645F">
          <w:rPr>
            <w:rStyle w:val="Hyperlink"/>
            <w:noProof/>
          </w:rPr>
          <w:t>8</w:t>
        </w:r>
        <w:r w:rsidR="0019645F" w:rsidRPr="00811AE8">
          <w:rPr>
            <w:rStyle w:val="Hyperlink"/>
            <w:noProof/>
          </w:rPr>
          <w:t>.</w:t>
        </w:r>
        <w:r w:rsidR="0019645F">
          <w:rPr>
            <w:rFonts w:asciiTheme="minorHAnsi" w:eastAsiaTheme="minorEastAsia" w:hAnsiTheme="minorHAnsi" w:cstheme="minorBidi"/>
            <w:noProof/>
            <w:sz w:val="22"/>
            <w:szCs w:val="22"/>
          </w:rPr>
          <w:tab/>
        </w:r>
        <w:r w:rsidR="004764E4" w:rsidRPr="004764E4">
          <w:rPr>
            <w:rFonts w:eastAsiaTheme="minorEastAsia"/>
            <w:noProof/>
          </w:rPr>
          <w:t>Vodstvo uprave</w:t>
        </w:r>
        <w:r w:rsidR="0019645F">
          <w:rPr>
            <w:noProof/>
            <w:webHidden/>
          </w:rPr>
          <w:tab/>
        </w:r>
        <w:r w:rsidR="004764E4">
          <w:rPr>
            <w:noProof/>
            <w:webHidden/>
          </w:rPr>
          <w:t>8</w:t>
        </w:r>
      </w:hyperlink>
    </w:p>
    <w:p w14:paraId="0C69D0B8" w14:textId="25BAC500" w:rsidR="0079623B" w:rsidRDefault="00000000">
      <w:pPr>
        <w:pStyle w:val="TOC1"/>
        <w:rPr>
          <w:noProof/>
        </w:rPr>
      </w:pPr>
      <w:hyperlink w:anchor="_Toc365454901" w:history="1">
        <w:r w:rsidR="0079623B" w:rsidRPr="00811AE8">
          <w:rPr>
            <w:rStyle w:val="Hyperlink"/>
            <w:noProof/>
          </w:rPr>
          <w:t>4.</w:t>
        </w:r>
        <w:r w:rsidR="0079623B">
          <w:rPr>
            <w:rFonts w:asciiTheme="minorHAnsi" w:eastAsiaTheme="minorEastAsia" w:hAnsiTheme="minorHAnsi" w:cstheme="minorBidi"/>
            <w:noProof/>
            <w:sz w:val="22"/>
            <w:szCs w:val="22"/>
          </w:rPr>
          <w:tab/>
        </w:r>
        <w:r w:rsidR="004764E4">
          <w:rPr>
            <w:rStyle w:val="Hyperlink"/>
            <w:noProof/>
          </w:rPr>
          <w:t>Toyota</w:t>
        </w:r>
        <w:r w:rsidR="0079623B">
          <w:rPr>
            <w:noProof/>
            <w:webHidden/>
          </w:rPr>
          <w:tab/>
        </w:r>
        <w:r w:rsidR="004764E4">
          <w:rPr>
            <w:noProof/>
            <w:webHidden/>
          </w:rPr>
          <w:t>9</w:t>
        </w:r>
      </w:hyperlink>
    </w:p>
    <w:p w14:paraId="3C7E98DD" w14:textId="475D2187" w:rsidR="004764E4" w:rsidRDefault="00000000" w:rsidP="004764E4">
      <w:pPr>
        <w:pStyle w:val="TOC2"/>
        <w:rPr>
          <w:noProof/>
        </w:rPr>
      </w:pPr>
      <w:hyperlink w:anchor="_Toc365454897" w:history="1">
        <w:r w:rsidR="004764E4">
          <w:rPr>
            <w:rStyle w:val="Hyperlink"/>
            <w:noProof/>
          </w:rPr>
          <w:t>4</w:t>
        </w:r>
        <w:r w:rsidR="004764E4" w:rsidRPr="00811AE8">
          <w:rPr>
            <w:rStyle w:val="Hyperlink"/>
            <w:noProof/>
          </w:rPr>
          <w:t>.1.</w:t>
        </w:r>
        <w:r w:rsidR="004764E4">
          <w:rPr>
            <w:rFonts w:asciiTheme="minorHAnsi" w:eastAsiaTheme="minorEastAsia" w:hAnsiTheme="minorHAnsi" w:cstheme="minorBidi"/>
            <w:noProof/>
            <w:sz w:val="22"/>
            <w:szCs w:val="22"/>
          </w:rPr>
          <w:tab/>
        </w:r>
        <w:r w:rsidR="004764E4">
          <w:rPr>
            <w:rStyle w:val="Hyperlink"/>
            <w:noProof/>
          </w:rPr>
          <w:t>Kaizen</w:t>
        </w:r>
        <w:r w:rsidR="004764E4">
          <w:rPr>
            <w:noProof/>
            <w:webHidden/>
          </w:rPr>
          <w:tab/>
          <w:t>10</w:t>
        </w:r>
      </w:hyperlink>
    </w:p>
    <w:p w14:paraId="5FBB1A9E" w14:textId="04935FD1" w:rsidR="004764E4" w:rsidRDefault="00000000" w:rsidP="004764E4">
      <w:pPr>
        <w:pStyle w:val="TOC2"/>
        <w:rPr>
          <w:rFonts w:asciiTheme="minorHAnsi" w:eastAsiaTheme="minorEastAsia" w:hAnsiTheme="minorHAnsi" w:cstheme="minorBidi"/>
          <w:noProof/>
          <w:sz w:val="22"/>
          <w:szCs w:val="22"/>
        </w:rPr>
      </w:pPr>
      <w:hyperlink w:anchor="_Toc365454897" w:history="1">
        <w:r w:rsidR="004764E4">
          <w:rPr>
            <w:rStyle w:val="Hyperlink"/>
            <w:noProof/>
          </w:rPr>
          <w:t>4</w:t>
        </w:r>
        <w:r w:rsidR="004764E4" w:rsidRPr="00811AE8">
          <w:rPr>
            <w:rStyle w:val="Hyperlink"/>
            <w:noProof/>
          </w:rPr>
          <w:t>.</w:t>
        </w:r>
        <w:r w:rsidR="004764E4">
          <w:rPr>
            <w:rStyle w:val="Hyperlink"/>
            <w:noProof/>
          </w:rPr>
          <w:t>2</w:t>
        </w:r>
        <w:r w:rsidR="004764E4" w:rsidRPr="00811AE8">
          <w:rPr>
            <w:rStyle w:val="Hyperlink"/>
            <w:noProof/>
          </w:rPr>
          <w:t>.</w:t>
        </w:r>
        <w:r w:rsidR="004764E4">
          <w:rPr>
            <w:rFonts w:asciiTheme="minorHAnsi" w:eastAsiaTheme="minorEastAsia" w:hAnsiTheme="minorHAnsi" w:cstheme="minorBidi"/>
            <w:noProof/>
            <w:sz w:val="22"/>
            <w:szCs w:val="22"/>
          </w:rPr>
          <w:tab/>
        </w:r>
        <w:r w:rsidR="004764E4" w:rsidRPr="004764E4">
          <w:rPr>
            <w:rFonts w:eastAsiaTheme="minorEastAsia"/>
            <w:noProof/>
          </w:rPr>
          <w:t>Kanban</w:t>
        </w:r>
        <w:r w:rsidR="004764E4">
          <w:rPr>
            <w:noProof/>
            <w:webHidden/>
          </w:rPr>
          <w:tab/>
          <w:t>11</w:t>
        </w:r>
      </w:hyperlink>
    </w:p>
    <w:p w14:paraId="27F9126A" w14:textId="6FB8AC1D" w:rsidR="004764E4" w:rsidRDefault="00000000" w:rsidP="004764E4">
      <w:pPr>
        <w:pStyle w:val="TOC2"/>
        <w:rPr>
          <w:rFonts w:asciiTheme="minorHAnsi" w:eastAsiaTheme="minorEastAsia" w:hAnsiTheme="minorHAnsi" w:cstheme="minorBidi"/>
          <w:noProof/>
          <w:sz w:val="22"/>
          <w:szCs w:val="22"/>
        </w:rPr>
      </w:pPr>
      <w:hyperlink w:anchor="_Toc365454897" w:history="1">
        <w:r w:rsidR="004764E4">
          <w:rPr>
            <w:rStyle w:val="Hyperlink"/>
            <w:noProof/>
          </w:rPr>
          <w:t>4</w:t>
        </w:r>
        <w:r w:rsidR="004764E4" w:rsidRPr="00811AE8">
          <w:rPr>
            <w:rStyle w:val="Hyperlink"/>
            <w:noProof/>
          </w:rPr>
          <w:t>.</w:t>
        </w:r>
        <w:r w:rsidR="004764E4">
          <w:rPr>
            <w:rStyle w:val="Hyperlink"/>
            <w:noProof/>
          </w:rPr>
          <w:t>3</w:t>
        </w:r>
        <w:r w:rsidR="004764E4" w:rsidRPr="00811AE8">
          <w:rPr>
            <w:rStyle w:val="Hyperlink"/>
            <w:noProof/>
          </w:rPr>
          <w:t>.</w:t>
        </w:r>
        <w:r w:rsidR="004764E4">
          <w:rPr>
            <w:rFonts w:asciiTheme="minorHAnsi" w:eastAsiaTheme="minorEastAsia" w:hAnsiTheme="minorHAnsi" w:cstheme="minorBidi"/>
            <w:noProof/>
            <w:sz w:val="22"/>
            <w:szCs w:val="22"/>
          </w:rPr>
          <w:tab/>
        </w:r>
        <w:r w:rsidR="004764E4" w:rsidRPr="004764E4">
          <w:rPr>
            <w:rFonts w:eastAsiaTheme="minorEastAsia"/>
            <w:noProof/>
          </w:rPr>
          <w:t>Jidoka</w:t>
        </w:r>
        <w:r w:rsidR="004764E4">
          <w:rPr>
            <w:noProof/>
            <w:webHidden/>
          </w:rPr>
          <w:tab/>
          <w:t>11</w:t>
        </w:r>
      </w:hyperlink>
    </w:p>
    <w:p w14:paraId="50B13EFD" w14:textId="1E2FE6DB" w:rsidR="004764E4" w:rsidRPr="004764E4" w:rsidRDefault="00000000" w:rsidP="004764E4">
      <w:pPr>
        <w:pStyle w:val="TOC2"/>
        <w:rPr>
          <w:rFonts w:asciiTheme="minorHAnsi" w:eastAsiaTheme="minorEastAsia" w:hAnsiTheme="minorHAnsi" w:cstheme="minorBidi"/>
          <w:noProof/>
          <w:sz w:val="22"/>
          <w:szCs w:val="22"/>
        </w:rPr>
      </w:pPr>
      <w:hyperlink w:anchor="_Toc365454897" w:history="1">
        <w:r w:rsidR="004764E4">
          <w:rPr>
            <w:rStyle w:val="Hyperlink"/>
            <w:noProof/>
          </w:rPr>
          <w:t>4</w:t>
        </w:r>
        <w:r w:rsidR="004764E4" w:rsidRPr="00811AE8">
          <w:rPr>
            <w:rStyle w:val="Hyperlink"/>
            <w:noProof/>
          </w:rPr>
          <w:t>.</w:t>
        </w:r>
        <w:r w:rsidR="004764E4">
          <w:rPr>
            <w:rStyle w:val="Hyperlink"/>
            <w:noProof/>
          </w:rPr>
          <w:t>4</w:t>
        </w:r>
        <w:r w:rsidR="004764E4" w:rsidRPr="00811AE8">
          <w:rPr>
            <w:rStyle w:val="Hyperlink"/>
            <w:noProof/>
          </w:rPr>
          <w:t>.</w:t>
        </w:r>
        <w:r w:rsidR="004764E4">
          <w:rPr>
            <w:rFonts w:asciiTheme="minorHAnsi" w:eastAsiaTheme="minorEastAsia" w:hAnsiTheme="minorHAnsi" w:cstheme="minorBidi"/>
            <w:noProof/>
            <w:sz w:val="22"/>
            <w:szCs w:val="22"/>
          </w:rPr>
          <w:tab/>
        </w:r>
        <w:r w:rsidR="004764E4">
          <w:rPr>
            <w:rStyle w:val="Hyperlink"/>
            <w:noProof/>
          </w:rPr>
          <w:t>Poka-yoke</w:t>
        </w:r>
        <w:r w:rsidR="004764E4">
          <w:rPr>
            <w:noProof/>
            <w:webHidden/>
          </w:rPr>
          <w:tab/>
          <w:t>12</w:t>
        </w:r>
      </w:hyperlink>
    </w:p>
    <w:p w14:paraId="5278D1AC" w14:textId="1F787B49" w:rsidR="0079623B" w:rsidRDefault="00000000">
      <w:pPr>
        <w:pStyle w:val="TOC1"/>
        <w:rPr>
          <w:rFonts w:asciiTheme="minorHAnsi" w:eastAsiaTheme="minorEastAsia" w:hAnsiTheme="minorHAnsi" w:cstheme="minorBidi"/>
          <w:noProof/>
          <w:sz w:val="22"/>
          <w:szCs w:val="22"/>
        </w:rPr>
      </w:pPr>
      <w:hyperlink w:anchor="_Toc365454902" w:history="1">
        <w:r w:rsidR="0079623B" w:rsidRPr="00811AE8">
          <w:rPr>
            <w:rStyle w:val="Hyperlink"/>
            <w:noProof/>
          </w:rPr>
          <w:t>5.</w:t>
        </w:r>
        <w:r w:rsidR="0079623B">
          <w:rPr>
            <w:rFonts w:asciiTheme="minorHAnsi" w:eastAsiaTheme="minorEastAsia" w:hAnsiTheme="minorHAnsi" w:cstheme="minorBidi"/>
            <w:noProof/>
            <w:sz w:val="22"/>
            <w:szCs w:val="22"/>
          </w:rPr>
          <w:tab/>
        </w:r>
        <w:r w:rsidR="004764E4">
          <w:rPr>
            <w:rStyle w:val="Hyperlink"/>
            <w:noProof/>
          </w:rPr>
          <w:t>Literatura</w:t>
        </w:r>
        <w:r w:rsidR="0079623B">
          <w:rPr>
            <w:noProof/>
            <w:webHidden/>
          </w:rPr>
          <w:tab/>
        </w:r>
        <w:r w:rsidR="004764E4">
          <w:rPr>
            <w:noProof/>
            <w:webHidden/>
          </w:rPr>
          <w:t>13</w:t>
        </w:r>
      </w:hyperlink>
    </w:p>
    <w:p w14:paraId="0010A17C" w14:textId="77777777" w:rsidR="00EA7310" w:rsidRDefault="00F518DC" w:rsidP="0015288B">
      <w:pPr>
        <w:pStyle w:val="TOC1"/>
      </w:pPr>
      <w:r>
        <w:fldChar w:fldCharType="end"/>
      </w:r>
    </w:p>
    <w:p w14:paraId="190FB80A" w14:textId="77777777" w:rsidR="0015288B" w:rsidRDefault="00EA7310">
      <w:pPr>
        <w:spacing w:after="200" w:line="276" w:lineRule="auto"/>
        <w:sectPr w:rsidR="0015288B" w:rsidSect="0015288B">
          <w:footerReference w:type="default" r:id="rId9"/>
          <w:pgSz w:w="11906" w:h="16838"/>
          <w:pgMar w:top="1417" w:right="1417" w:bottom="1417" w:left="1417" w:header="708" w:footer="708" w:gutter="0"/>
          <w:pgNumType w:fmt="upperRoman" w:start="1"/>
          <w:cols w:space="708"/>
          <w:docGrid w:linePitch="360"/>
        </w:sectPr>
      </w:pPr>
      <w:r>
        <w:br w:type="page"/>
      </w:r>
    </w:p>
    <w:p w14:paraId="0B140EA3" w14:textId="77777777" w:rsidR="00365B40" w:rsidRPr="00C103FB" w:rsidRDefault="00967608" w:rsidP="00C103FB">
      <w:pPr>
        <w:pStyle w:val="FOINaslov1"/>
      </w:pPr>
      <w:bookmarkStart w:id="0" w:name="_Toc365454895"/>
      <w:r w:rsidRPr="00C103FB">
        <w:lastRenderedPageBreak/>
        <w:t>Uvod</w:t>
      </w:r>
      <w:bookmarkEnd w:id="0"/>
    </w:p>
    <w:p w14:paraId="036938A9" w14:textId="77777777" w:rsidR="00D43D5A" w:rsidRDefault="00D43D5A" w:rsidP="005E1D8E">
      <w:pPr>
        <w:spacing w:after="200" w:line="360" w:lineRule="auto"/>
        <w:ind w:firstLine="708"/>
      </w:pPr>
      <w:r>
        <w:t>Kvaliteta je očekivana usluga koja se ostvaruje. Dakle, prije kupovine kupac izračunava je li vrijednost proizvoda i usluga koje dobiva jednak iznosu novca koji je spreman platiti u zamjenu. Svaki put kupac je u situaciji u kojoj mora ili ne mora kupiti proizvod. Stoga bi kvaliteta proizvoda ili usluge trebala ispuniti očekivanja kupca. U stvari, kupci također očekuju da će proizvod koji kupuju biti onakav kakav žele, a usluga bi trebala biti pravilno izvedena od autentičnog prodavatelja od kojeg su kupili proizvod.</w:t>
      </w:r>
    </w:p>
    <w:p w14:paraId="76AF623D" w14:textId="77777777" w:rsidR="00D43D5A" w:rsidRDefault="00D43D5A" w:rsidP="005E1D8E">
      <w:pPr>
        <w:spacing w:after="200" w:line="360" w:lineRule="auto"/>
        <w:ind w:firstLine="708"/>
      </w:pPr>
      <w:r>
        <w:t>Kada kupci nisu zadovoljni kvalitetom proizvoda ili usluge, to može dovesti do gubitka njihove lojalnosti. Ne samo da će se vjerojatno odlučiti za drugog prodavača u budućnosti, već će možda i podijeliti svoje nezadovoljstvo s drugima. U današnjem dobu društvenih medija, loša recenzija na internetu može imati veliki utjecaj na poslovanje i ugled tvrtke.</w:t>
      </w:r>
    </w:p>
    <w:p w14:paraId="4158BCDD" w14:textId="77777777" w:rsidR="00D43D5A" w:rsidRDefault="00D43D5A" w:rsidP="005E1D8E">
      <w:pPr>
        <w:spacing w:after="200" w:line="360" w:lineRule="auto"/>
        <w:ind w:firstLine="708"/>
      </w:pPr>
      <w:r>
        <w:t>S druge strane, visoka kvaliteta proizvoda ili usluge može stvoriti lojalne kupce koji će se vratiti i kupiti više proizvoda. Kvaliteta može biti ključni faktor u izboru između različitih proizvoda na tržištu. Na primjer, ako dva proizvoda imaju sličnu cijenu, kupci će se vjerojatno odlučiti za proizvod s boljom kvalitetom.</w:t>
      </w:r>
    </w:p>
    <w:p w14:paraId="04524A1F" w14:textId="77777777" w:rsidR="00D43D5A" w:rsidRDefault="00D43D5A" w:rsidP="005E1D8E">
      <w:pPr>
        <w:spacing w:after="200" w:line="360" w:lineRule="auto"/>
        <w:ind w:firstLine="708"/>
      </w:pPr>
      <w:r>
        <w:t>Sustav upravljanja ili upravljački okvir koji se usredotočuje na poboljšanje kvalitete i koji se temelji na uvjerenju da organizacija može izgraditi dugoročni uspjeh ukoliko svi članovi organizacije, od operativaca preko svih razina menadžmenta, fokusiraju na što bolju izvedbu i isporuku najkvalitetnijeg mogućeg proizvoda ili usluge te time zapravo isporučuju klijentima najveće moguće zadovoljstvo je TQM. Dakle TQM je pristup poslovanju koji je usmjeren na stalno poboljšanje kvalitete proizvoda ili usluga koje organizacija nudi.</w:t>
      </w:r>
    </w:p>
    <w:p w14:paraId="7E448FF5" w14:textId="63F246F3" w:rsidR="001D61EA" w:rsidRDefault="00D43D5A" w:rsidP="005E1D8E">
      <w:pPr>
        <w:spacing w:after="200" w:line="360" w:lineRule="auto"/>
        <w:ind w:firstLine="708"/>
      </w:pPr>
      <w:r>
        <w:t>TQM skraćeno od Total Quality Management obuhvaća sve dijelove organizacije, uključujući procese nabave i proizvodnje, prodaju i isporuku proizvoda ili usluga, marketing,  upravljanje ljudskim resursima i financijama. Cilj TQM-a je postizanje maksimalne kvalitete koja će zadovoljiti ili premašiti očekivanja kupaca. Implementacija TQM-a u organizaciji povećava vjerojatnost da će proizvodi ili usluge biti izrađeni prema specifikacijama kupaca te da će zadovoljiti njihove potrebe i želje. To je ključni faktor za postizanje dugoročne lojalnosti kupaca i uspješnosti poslovanja.</w:t>
      </w:r>
      <w:r w:rsidR="001D61EA">
        <w:rPr>
          <w:b/>
          <w:bCs/>
        </w:rPr>
        <w:br w:type="page"/>
      </w:r>
    </w:p>
    <w:p w14:paraId="2753AEEE" w14:textId="51271A5F" w:rsidR="00FD0CD5" w:rsidRDefault="00FE7A9A" w:rsidP="00C103FB">
      <w:pPr>
        <w:pStyle w:val="FOINaslov1"/>
      </w:pPr>
      <w:bookmarkStart w:id="1" w:name="_Toc365454896"/>
      <w:bookmarkStart w:id="2" w:name="_Hlk134264596"/>
      <w:r>
        <w:lastRenderedPageBreak/>
        <w:t>Po</w:t>
      </w:r>
      <w:bookmarkEnd w:id="1"/>
      <w:r w:rsidR="005E1D8E">
        <w:t>vijest TQM-a</w:t>
      </w:r>
    </w:p>
    <w:p w14:paraId="5B076928" w14:textId="77777777" w:rsidR="005E1D8E" w:rsidRPr="005E1D8E" w:rsidRDefault="005E1D8E" w:rsidP="005E1D8E">
      <w:pPr>
        <w:pStyle w:val="FOINaslov2"/>
        <w:numPr>
          <w:ilvl w:val="0"/>
          <w:numId w:val="0"/>
        </w:numPr>
        <w:spacing w:line="360" w:lineRule="auto"/>
        <w:ind w:firstLine="708"/>
        <w:rPr>
          <w:b w:val="0"/>
          <w:sz w:val="24"/>
        </w:rPr>
      </w:pPr>
      <w:bookmarkStart w:id="3" w:name="_Toc365454897"/>
      <w:bookmarkEnd w:id="2"/>
      <w:r w:rsidRPr="005E1D8E">
        <w:rPr>
          <w:b w:val="0"/>
          <w:sz w:val="24"/>
        </w:rPr>
        <w:t>Povijest TQM-a seže u ranu 20. stoljeće, kada su industrijski stručnjaci i inženjeri počeli prepoznavati važnost kvalitete u procesima proizvodnje. U 1930-ima, američki inženjer Walter A. Shewhart razvio je koncept statističke kontrole procesa, koji se fokusirao na korištenje statističkih metoda za kontrolu i poboljšanje kvalitete proizvodnih procesa.</w:t>
      </w:r>
    </w:p>
    <w:p w14:paraId="465A0EC1" w14:textId="5A0E6D1D" w:rsidR="005E1D8E" w:rsidRPr="005E1D8E" w:rsidRDefault="005E1D8E" w:rsidP="005E1D8E">
      <w:pPr>
        <w:pStyle w:val="FOINaslov2"/>
        <w:numPr>
          <w:ilvl w:val="0"/>
          <w:numId w:val="0"/>
        </w:numPr>
        <w:spacing w:line="360" w:lineRule="auto"/>
        <w:ind w:firstLine="708"/>
        <w:rPr>
          <w:b w:val="0"/>
          <w:sz w:val="24"/>
        </w:rPr>
      </w:pPr>
      <w:r w:rsidRPr="005E1D8E">
        <w:rPr>
          <w:b w:val="0"/>
          <w:sz w:val="24"/>
        </w:rPr>
        <w:t>1931. godine Shewhart objavljuje rad pod nazivom „Economic Control of Quality of Manufactured Product“. Ovaj rad se smatra jednim od temeljnih i osnovnih principa modernog upravljanja kvalitetom. Shewhartov rad na statističkoj kontroli procesa i kontroli kvalitete postavio je temelje Totalnog upravljanja kvalitetom (TQM) i njegovih načela</w:t>
      </w:r>
      <w:r w:rsidR="009911BD">
        <w:rPr>
          <w:b w:val="0"/>
          <w:sz w:val="24"/>
        </w:rPr>
        <w:t xml:space="preserve"> [1]</w:t>
      </w:r>
      <w:r w:rsidRPr="005E1D8E">
        <w:rPr>
          <w:b w:val="0"/>
          <w:sz w:val="24"/>
        </w:rPr>
        <w:t>.</w:t>
      </w:r>
      <w:r w:rsidR="009911BD">
        <w:rPr>
          <w:b w:val="0"/>
          <w:sz w:val="24"/>
        </w:rPr>
        <w:t xml:space="preserve"> </w:t>
      </w:r>
    </w:p>
    <w:p w14:paraId="07F4D92F" w14:textId="77595C50" w:rsidR="005E1D8E" w:rsidRPr="005E1D8E" w:rsidRDefault="005E1D8E" w:rsidP="005E1D8E">
      <w:pPr>
        <w:pStyle w:val="FOINaslov2"/>
        <w:numPr>
          <w:ilvl w:val="0"/>
          <w:numId w:val="0"/>
        </w:numPr>
        <w:spacing w:line="360" w:lineRule="auto"/>
        <w:ind w:firstLine="708"/>
        <w:rPr>
          <w:b w:val="0"/>
          <w:sz w:val="24"/>
        </w:rPr>
      </w:pPr>
      <w:r w:rsidRPr="005E1D8E">
        <w:rPr>
          <w:b w:val="0"/>
          <w:sz w:val="24"/>
        </w:rPr>
        <w:t>195</w:t>
      </w:r>
      <w:r w:rsidR="009911BD">
        <w:rPr>
          <w:b w:val="0"/>
          <w:sz w:val="24"/>
        </w:rPr>
        <w:t>1</w:t>
      </w:r>
      <w:r w:rsidRPr="005E1D8E">
        <w:rPr>
          <w:b w:val="0"/>
          <w:sz w:val="24"/>
        </w:rPr>
        <w:t>. Joseph M. Juran je objavio „What Is Total Quality Control? The Japanese Way“. Knjiga je predstavljala razvoj Shewhartovog rada i uvela nove standarde u upravljanju kvalitetom, a temeljila se na njegovom iskustvu u Japanu</w:t>
      </w:r>
      <w:r w:rsidR="009911BD">
        <w:rPr>
          <w:b w:val="0"/>
          <w:sz w:val="24"/>
        </w:rPr>
        <w:t xml:space="preserve"> [2]</w:t>
      </w:r>
      <w:r w:rsidRPr="005E1D8E">
        <w:rPr>
          <w:b w:val="0"/>
          <w:sz w:val="24"/>
        </w:rPr>
        <w:t>.</w:t>
      </w:r>
    </w:p>
    <w:p w14:paraId="6C6E3184" w14:textId="0F2F4E74" w:rsidR="005E1D8E" w:rsidRDefault="005E1D8E" w:rsidP="005E1D8E">
      <w:pPr>
        <w:pStyle w:val="FOINaslov2"/>
        <w:numPr>
          <w:ilvl w:val="0"/>
          <w:numId w:val="0"/>
        </w:numPr>
        <w:spacing w:line="360" w:lineRule="auto"/>
        <w:ind w:firstLine="708"/>
        <w:rPr>
          <w:b w:val="0"/>
          <w:sz w:val="24"/>
        </w:rPr>
      </w:pPr>
      <w:r w:rsidRPr="005E1D8E">
        <w:rPr>
          <w:b w:val="0"/>
          <w:sz w:val="24"/>
        </w:rPr>
        <w:t>Edwards Deming je još jedna važna osoba u povijesti ne samo TQM-a nego i općenito menadžmenta. Nakon Drugog svjetskog rata, Deming se uključio u Savez japanskih znanstvenika i inženjera (JUSE). Njegov rad u karijeri uključivao je nekoliko okvira TQM-a (Demingovih 14 točaka, Demingovih sedam smrtonosnih bolesti menadžmenta i Demingov kotač)</w:t>
      </w:r>
      <w:r w:rsidR="000D763D">
        <w:rPr>
          <w:b w:val="0"/>
          <w:sz w:val="24"/>
        </w:rPr>
        <w:t xml:space="preserve"> [3]</w:t>
      </w:r>
      <w:r w:rsidRPr="005E1D8E">
        <w:rPr>
          <w:b w:val="0"/>
          <w:sz w:val="24"/>
        </w:rPr>
        <w:t>.</w:t>
      </w:r>
    </w:p>
    <w:p w14:paraId="69FDDAE4" w14:textId="77777777" w:rsidR="002712CA" w:rsidRDefault="002712CA" w:rsidP="002712CA">
      <w:pPr>
        <w:pStyle w:val="FOINaslov1"/>
        <w:rPr>
          <w:lang w:val="en-US" w:eastAsia="en-US"/>
        </w:rPr>
      </w:pPr>
      <w:r w:rsidRPr="008E2BA1">
        <w:rPr>
          <w:lang w:eastAsia="en-US"/>
        </w:rPr>
        <w:t>Primarna načela potpunog upravljanja kvalitetom</w:t>
      </w:r>
    </w:p>
    <w:p w14:paraId="25F0B117" w14:textId="4BCD4BF7" w:rsidR="002712CA" w:rsidRPr="002712CA" w:rsidRDefault="002712CA" w:rsidP="002712CA">
      <w:pPr>
        <w:pStyle w:val="FOINaslov1"/>
        <w:numPr>
          <w:ilvl w:val="0"/>
          <w:numId w:val="0"/>
        </w:numPr>
        <w:spacing w:line="360" w:lineRule="auto"/>
        <w:jc w:val="left"/>
        <w:rPr>
          <w:b w:val="0"/>
          <w:bCs w:val="0"/>
          <w:sz w:val="24"/>
          <w:szCs w:val="18"/>
        </w:rPr>
      </w:pPr>
      <w:r>
        <w:rPr>
          <w:b w:val="0"/>
          <w:bCs w:val="0"/>
          <w:sz w:val="24"/>
          <w:szCs w:val="18"/>
        </w:rPr>
        <w:tab/>
      </w:r>
      <w:r>
        <w:rPr>
          <w:b w:val="0"/>
          <w:bCs w:val="0"/>
          <w:sz w:val="24"/>
          <w:szCs w:val="18"/>
        </w:rPr>
        <w:tab/>
      </w:r>
      <w:r w:rsidRPr="002712CA">
        <w:rPr>
          <w:b w:val="0"/>
          <w:bCs w:val="0"/>
          <w:sz w:val="24"/>
          <w:szCs w:val="18"/>
        </w:rPr>
        <w:t>Primarna načela potpunog upravljanja kvalitetom (TQM) predstavljaju osnovne smjernice koje organizacije trebaju slijediti kako bi uspostavile i održavale sustav upravljanja kvalitetom. Ova načela uključuju fokus na kupca, kontinuirano poboljšanje, uključenost svih zaposlenih, procesni pristup, upravljanje uz pomoć podataka i odlučivanje na temelju činjenica, a također i strateško planiranje i partnerstvo s dobavljačima. TQM se temelji na tim načelima kako bi se osigurao visok standard kvalitete proizvoda ili usluga te osigurao dugoročni uspjeh organizacije.</w:t>
      </w:r>
    </w:p>
    <w:bookmarkEnd w:id="3"/>
    <w:p w14:paraId="69CC8730" w14:textId="5F534E72" w:rsidR="00FE7A9A" w:rsidRPr="00A042C6" w:rsidRDefault="008B0D35" w:rsidP="005E1D8E">
      <w:pPr>
        <w:pStyle w:val="FOINaslov2"/>
      </w:pPr>
      <w:r>
        <w:t>Fokus na kupca</w:t>
      </w:r>
    </w:p>
    <w:p w14:paraId="7F798F8A" w14:textId="77777777" w:rsidR="008B0D35" w:rsidRDefault="008B0D35" w:rsidP="008B0D35">
      <w:pPr>
        <w:spacing w:after="120" w:line="360" w:lineRule="auto"/>
        <w:ind w:firstLine="709"/>
        <w:jc w:val="both"/>
      </w:pPr>
      <w:bookmarkStart w:id="4" w:name="_Toc365454898"/>
      <w:r w:rsidRPr="00A20512">
        <w:t>Fokus na kupca je jedno od primarnih načela Total Quality Managementa (TQM) i ključan element uspješne primjene TQM-a. Fokus na kupca podrazumijeva da se sve aktivnosti organizacije usmjeravaju na razumijevanje i zadovoljavanje potreba, očekivanja i zahtjeva kupaca.</w:t>
      </w:r>
    </w:p>
    <w:p w14:paraId="7584A275" w14:textId="77777777" w:rsidR="008B0D35" w:rsidRDefault="008B0D35" w:rsidP="008B0D35">
      <w:pPr>
        <w:spacing w:after="120" w:line="360" w:lineRule="auto"/>
        <w:ind w:firstLine="709"/>
        <w:jc w:val="both"/>
      </w:pPr>
      <w:r w:rsidRPr="00A20512">
        <w:lastRenderedPageBreak/>
        <w:t>Kupac je uvijek u centru pozornosti organizacije i organizacija mora biti usmjerena prema stvaranju vrijednosti za kupce. To znači da organizacija mora razumjeti tko su njezini kupci, što oni žele i trebaju, te što su njihove preferencije. Organizacija treba razviti sustav za povratne informacije od kupaca kako bi bolje razumjela njihove potrebe i želje, a zatim koristiti tu informaciju kako bi poboljšala svoje proizvode i usluge.</w:t>
      </w:r>
    </w:p>
    <w:p w14:paraId="7C59501F" w14:textId="77777777" w:rsidR="008B0D35" w:rsidRDefault="008B0D35" w:rsidP="008B0D35">
      <w:pPr>
        <w:spacing w:after="120" w:line="360" w:lineRule="auto"/>
        <w:ind w:firstLine="709"/>
        <w:jc w:val="both"/>
      </w:pPr>
      <w:r w:rsidRPr="00A20512">
        <w:t>Osim toga, organizacija treba osigurati da svi zaposlenici budu svjesni važnosti kupca i da njihove aktivnosti budu usmjerene na zadovoljenje kupčevih potreba. To se može postići kroz obuku zaposlenika, primjenu sustava za nagrađivanje zaposlenika za zadovoljavanje kupčevih potreba, i kroz integraciju povratnih informacija kupaca u proces donošenja odluka organizacije.</w:t>
      </w:r>
    </w:p>
    <w:p w14:paraId="0963AB94" w14:textId="660BC878" w:rsidR="008B0D35" w:rsidRDefault="008B0D35" w:rsidP="008B0D35">
      <w:pPr>
        <w:spacing w:after="120" w:line="360" w:lineRule="auto"/>
        <w:ind w:firstLine="709"/>
        <w:jc w:val="both"/>
      </w:pPr>
      <w:r w:rsidRPr="00A20512">
        <w:t>Fokus na kupca također zahtijeva kontinuirano praćenje zadovoljstva kupaca kako bi se osiguralo da organizacija neprestano poboljšava kvalitetu svojih proizvoda i usluga kako bi zadovoljila njihove potrebe i očekivanja. To je ključni element TQM-a koji pomaže organizaciji da ostvari konkurentsku prednost na tržištu i dugoročni uspjeh</w:t>
      </w:r>
      <w:r w:rsidR="009228DF">
        <w:t xml:space="preserve"> [4]</w:t>
      </w:r>
      <w:r w:rsidR="007C3520">
        <w:t xml:space="preserve"> </w:t>
      </w:r>
      <w:bookmarkStart w:id="5" w:name="_Hlk134267449"/>
      <w:r w:rsidR="007C3520">
        <w:t>[5]</w:t>
      </w:r>
      <w:r w:rsidRPr="00A20512">
        <w:t>.</w:t>
      </w:r>
      <w:bookmarkEnd w:id="5"/>
    </w:p>
    <w:p w14:paraId="4FB9F90C" w14:textId="77777777" w:rsidR="008B0D35" w:rsidRDefault="008B0D35" w:rsidP="008B0D35">
      <w:pPr>
        <w:pStyle w:val="FOINaslov2"/>
      </w:pPr>
      <w:r w:rsidRPr="00FE7C79">
        <w:t>Kontinuirano poboljšanje</w:t>
      </w:r>
    </w:p>
    <w:p w14:paraId="2C94289D" w14:textId="77777777" w:rsidR="008B0D35" w:rsidRDefault="008B0D35" w:rsidP="008B0D35">
      <w:pPr>
        <w:pStyle w:val="FOINaslov2"/>
        <w:numPr>
          <w:ilvl w:val="0"/>
          <w:numId w:val="0"/>
        </w:numPr>
        <w:spacing w:line="360" w:lineRule="auto"/>
        <w:ind w:firstLine="708"/>
        <w:rPr>
          <w:b w:val="0"/>
          <w:bCs/>
          <w:sz w:val="24"/>
          <w:szCs w:val="20"/>
        </w:rPr>
      </w:pPr>
      <w:r w:rsidRPr="00FE7C79">
        <w:rPr>
          <w:b w:val="0"/>
          <w:bCs/>
          <w:sz w:val="24"/>
          <w:szCs w:val="20"/>
        </w:rPr>
        <w:t>Kontinuirano poboljšanje je još jedno primarno načelo Total Quality Managementa (TQM) i podrazumijeva stalno unapređivanje procesa i proizvoda organizacije kako bi se povećala učinkovitost, smanjili troškovi, i poboljšala kvaliteta proizvoda i usluga koje organizacija nudi svojim kupcima.</w:t>
      </w:r>
    </w:p>
    <w:p w14:paraId="4AE6CE0D" w14:textId="77777777" w:rsidR="008B0D35" w:rsidRDefault="008B0D35" w:rsidP="008B0D35">
      <w:pPr>
        <w:pStyle w:val="FOINaslov2"/>
        <w:numPr>
          <w:ilvl w:val="0"/>
          <w:numId w:val="0"/>
        </w:numPr>
        <w:spacing w:line="360" w:lineRule="auto"/>
        <w:ind w:firstLine="708"/>
        <w:rPr>
          <w:b w:val="0"/>
          <w:bCs/>
          <w:sz w:val="24"/>
          <w:szCs w:val="20"/>
        </w:rPr>
      </w:pPr>
      <w:r w:rsidRPr="00FE7C79">
        <w:rPr>
          <w:b w:val="0"/>
          <w:bCs/>
          <w:sz w:val="24"/>
          <w:szCs w:val="20"/>
        </w:rPr>
        <w:t>Kontinuirano poboljšanje se ne događa samo jednom, već je to kontinuirani proces koji zahtijeva napor i posvećenost organizacije i njenih zaposlenika. To znači da organizacija stalno traži nove i bolje načine za poboljšanje svojih proizvoda i usluga, identificira probleme u procesima i radi na njihovom rješavanju, te aktivno traži povratne informacije od kupaca i koristi ih kako bi unaprijedila svoje proizvode i usluge.</w:t>
      </w:r>
    </w:p>
    <w:p w14:paraId="137B9959" w14:textId="77777777" w:rsidR="008B0D35" w:rsidRDefault="008B0D35" w:rsidP="008B0D35">
      <w:pPr>
        <w:pStyle w:val="FOINaslov2"/>
        <w:numPr>
          <w:ilvl w:val="0"/>
          <w:numId w:val="0"/>
        </w:numPr>
        <w:spacing w:line="360" w:lineRule="auto"/>
        <w:ind w:firstLine="708"/>
        <w:rPr>
          <w:b w:val="0"/>
          <w:bCs/>
          <w:sz w:val="24"/>
          <w:szCs w:val="20"/>
        </w:rPr>
      </w:pPr>
      <w:r w:rsidRPr="00FE7C79">
        <w:rPr>
          <w:b w:val="0"/>
          <w:bCs/>
          <w:sz w:val="24"/>
          <w:szCs w:val="20"/>
        </w:rPr>
        <w:t>Kontinuirano poboljšanje se također temelji na korištenju podataka i činjenica kako bi se poboljšala učinkovitost procesa. Organizacija primjenjuje statističke metode za prikupljanje i analizu podataka kako bi identificirala uzroke problema i poboljšala procese. Ova metoda se često naziva proces poboljšanja kvalitete (Quality Improvement Process - QIP) i sastoji se od četiri koraka: Planiranje (Plan), Izvršenje (Do), Provođenje (Check), i Djelovanje (Act) (PDCA ciklus).</w:t>
      </w:r>
    </w:p>
    <w:p w14:paraId="07B6AFE5" w14:textId="09325C72" w:rsidR="008B0D35" w:rsidRDefault="008B0D35" w:rsidP="008B0D35">
      <w:pPr>
        <w:pStyle w:val="FOINaslov2"/>
        <w:numPr>
          <w:ilvl w:val="0"/>
          <w:numId w:val="0"/>
        </w:numPr>
        <w:spacing w:line="360" w:lineRule="auto"/>
        <w:ind w:firstLine="708"/>
        <w:rPr>
          <w:b w:val="0"/>
          <w:bCs/>
          <w:sz w:val="24"/>
          <w:szCs w:val="20"/>
        </w:rPr>
      </w:pPr>
      <w:r w:rsidRPr="00FE7C79">
        <w:rPr>
          <w:b w:val="0"/>
          <w:bCs/>
          <w:sz w:val="24"/>
          <w:szCs w:val="20"/>
        </w:rPr>
        <w:lastRenderedPageBreak/>
        <w:t>Kontinuirano poboljšanje je vitalni dio TQM-a jer organizaciji omogućuje da ostane konkurentna na tržištu i prilagodi se promjenama u okruženju. Kontinuirano poboljšanje također doprinosi boljem zadovoljstvu kupaca, što rezultira povećanjem lojalnosti kupaca i povećanjem profita organizacije</w:t>
      </w:r>
      <w:r w:rsidR="009228DF">
        <w:rPr>
          <w:b w:val="0"/>
          <w:bCs/>
          <w:sz w:val="24"/>
          <w:szCs w:val="20"/>
        </w:rPr>
        <w:t xml:space="preserve"> [4]</w:t>
      </w:r>
      <w:r w:rsidR="007C3520">
        <w:rPr>
          <w:b w:val="0"/>
          <w:bCs/>
          <w:sz w:val="24"/>
          <w:szCs w:val="20"/>
        </w:rPr>
        <w:t xml:space="preserve"> </w:t>
      </w:r>
      <w:r w:rsidR="007C3520" w:rsidRPr="007C3520">
        <w:rPr>
          <w:b w:val="0"/>
          <w:bCs/>
          <w:sz w:val="24"/>
          <w:szCs w:val="20"/>
        </w:rPr>
        <w:t>[5]</w:t>
      </w:r>
      <w:r w:rsidRPr="00FE7C79">
        <w:rPr>
          <w:b w:val="0"/>
          <w:bCs/>
          <w:sz w:val="24"/>
          <w:szCs w:val="20"/>
        </w:rPr>
        <w:t>.</w:t>
      </w:r>
    </w:p>
    <w:p w14:paraId="06869F63" w14:textId="77777777" w:rsidR="008B0D35" w:rsidRDefault="008B0D35" w:rsidP="008B0D35">
      <w:pPr>
        <w:pStyle w:val="FOINaslov2"/>
      </w:pPr>
      <w:r w:rsidRPr="00FE7C79">
        <w:t>Uključenost svih zaposlenika</w:t>
      </w:r>
    </w:p>
    <w:p w14:paraId="759D5F78" w14:textId="77777777" w:rsidR="008B0D35" w:rsidRDefault="008B0D35" w:rsidP="008B0D35">
      <w:pPr>
        <w:pStyle w:val="FOINaslov2"/>
        <w:numPr>
          <w:ilvl w:val="0"/>
          <w:numId w:val="0"/>
        </w:numPr>
        <w:spacing w:line="360" w:lineRule="auto"/>
        <w:ind w:firstLine="708"/>
        <w:rPr>
          <w:b w:val="0"/>
          <w:bCs/>
          <w:sz w:val="24"/>
          <w:szCs w:val="20"/>
        </w:rPr>
      </w:pPr>
      <w:r w:rsidRPr="00243A23">
        <w:rPr>
          <w:b w:val="0"/>
          <w:bCs/>
          <w:sz w:val="24"/>
          <w:szCs w:val="20"/>
        </w:rPr>
        <w:t>Uključenost svih zaposlenika</w:t>
      </w:r>
      <w:r>
        <w:rPr>
          <w:b w:val="0"/>
          <w:bCs/>
          <w:sz w:val="24"/>
          <w:szCs w:val="20"/>
        </w:rPr>
        <w:t xml:space="preserve"> </w:t>
      </w:r>
      <w:r w:rsidRPr="00243A23">
        <w:rPr>
          <w:b w:val="0"/>
          <w:bCs/>
          <w:sz w:val="24"/>
          <w:szCs w:val="20"/>
        </w:rPr>
        <w:t>podrazumijeva da su svi zaposlenici organizacije uključeni u proces donošenja odluka i aktivnosti koje se tiču kvalitete proizvoda i usluga koje organizacija nudi svojim kupcima.</w:t>
      </w:r>
    </w:p>
    <w:p w14:paraId="31647BE0" w14:textId="77777777" w:rsidR="008B0D35" w:rsidRDefault="008B0D35" w:rsidP="008B0D35">
      <w:pPr>
        <w:pStyle w:val="FOINaslov2"/>
        <w:numPr>
          <w:ilvl w:val="0"/>
          <w:numId w:val="0"/>
        </w:numPr>
        <w:spacing w:line="360" w:lineRule="auto"/>
        <w:ind w:firstLine="708"/>
        <w:rPr>
          <w:b w:val="0"/>
          <w:bCs/>
          <w:sz w:val="24"/>
          <w:szCs w:val="20"/>
        </w:rPr>
      </w:pPr>
      <w:r w:rsidRPr="00243A23">
        <w:rPr>
          <w:b w:val="0"/>
          <w:bCs/>
          <w:sz w:val="24"/>
          <w:szCs w:val="20"/>
        </w:rPr>
        <w:t>To znači da svi zaposlenici imaju priliku da sudjeluju u procesu unapređivanja kvalitete i da daju svoje mišljenje, ideje i prijedloge. Svi zaposlenici se smatraju dijelom tima za poboljšanje kvalitete i njihov doprinos je neophodan za uspješnu primjenu TQM-a.</w:t>
      </w:r>
    </w:p>
    <w:p w14:paraId="76F10ED2" w14:textId="77777777" w:rsidR="008B0D35" w:rsidRDefault="008B0D35" w:rsidP="008B0D35">
      <w:pPr>
        <w:pStyle w:val="FOINaslov2"/>
        <w:numPr>
          <w:ilvl w:val="0"/>
          <w:numId w:val="0"/>
        </w:numPr>
        <w:spacing w:line="360" w:lineRule="auto"/>
        <w:ind w:firstLine="708"/>
        <w:rPr>
          <w:b w:val="0"/>
          <w:bCs/>
          <w:sz w:val="24"/>
          <w:szCs w:val="20"/>
        </w:rPr>
      </w:pPr>
      <w:r w:rsidRPr="00243A23">
        <w:rPr>
          <w:b w:val="0"/>
          <w:bCs/>
          <w:sz w:val="24"/>
          <w:szCs w:val="20"/>
        </w:rPr>
        <w:t>Uključenost svih zaposlenika se postiže kroz razne aktivnosti kao što su: obuka zaposlenika, uspostavljanje sustava nagrađivanja zaposlenika za poboljšanja koja su predložili, organiziranje radionica i sastanaka na kojima se razmjenjuju ideje i iskustva, te korištenje sustava za povratne informacije od zaposlenika kako bi se utvrdila područja za poboljšanje.</w:t>
      </w:r>
    </w:p>
    <w:p w14:paraId="18D29550" w14:textId="77777777" w:rsidR="008B0D35" w:rsidRDefault="008B0D35" w:rsidP="008B0D35">
      <w:pPr>
        <w:pStyle w:val="FOINaslov2"/>
        <w:numPr>
          <w:ilvl w:val="0"/>
          <w:numId w:val="0"/>
        </w:numPr>
        <w:spacing w:line="360" w:lineRule="auto"/>
        <w:ind w:firstLine="708"/>
        <w:rPr>
          <w:b w:val="0"/>
          <w:bCs/>
          <w:sz w:val="24"/>
          <w:szCs w:val="20"/>
        </w:rPr>
      </w:pPr>
      <w:r w:rsidRPr="00243A23">
        <w:rPr>
          <w:b w:val="0"/>
          <w:bCs/>
          <w:sz w:val="24"/>
          <w:szCs w:val="20"/>
        </w:rPr>
        <w:t>Uključenost svih zaposlenika također doprinosi razvijanju kulture kontinuiranog poboljšanja u organizaciji. Svi zaposlenici su motivirani da traže nove i bolje načine za obavljanje svojih poslova, identificiraju probleme i predlažu rješenja za poboljšanje procesa. Kroz ovaj proces, organizacija postaje fleksibilnija, inovativnija i sposobnija da se prilagodi promjenama u okruženju.</w:t>
      </w:r>
    </w:p>
    <w:p w14:paraId="61B6DDD3" w14:textId="0B564495" w:rsidR="008B0D35" w:rsidRDefault="008B0D35" w:rsidP="008B0D35">
      <w:pPr>
        <w:pStyle w:val="FOINaslov2"/>
        <w:numPr>
          <w:ilvl w:val="0"/>
          <w:numId w:val="0"/>
        </w:numPr>
        <w:spacing w:line="360" w:lineRule="auto"/>
        <w:ind w:firstLine="708"/>
        <w:rPr>
          <w:b w:val="0"/>
          <w:bCs/>
          <w:sz w:val="24"/>
          <w:szCs w:val="20"/>
        </w:rPr>
      </w:pPr>
      <w:r w:rsidRPr="00243A23">
        <w:rPr>
          <w:b w:val="0"/>
          <w:bCs/>
          <w:sz w:val="24"/>
          <w:szCs w:val="20"/>
        </w:rPr>
        <w:t>Uključenost svih zaposlenika je ključni element TQM-a jer doprinosi stvaranju osjećaja pripadnosti organizaciji, motivira zaposlenike da rade učinkovitije i kreativnije, te doprinosi poboljšanju kvalitete proizvoda i usluga koje organizacija nudi svojim kupcima</w:t>
      </w:r>
      <w:r w:rsidR="009228DF">
        <w:rPr>
          <w:b w:val="0"/>
          <w:bCs/>
          <w:sz w:val="24"/>
          <w:szCs w:val="20"/>
        </w:rPr>
        <w:t xml:space="preserve"> [4]</w:t>
      </w:r>
      <w:r w:rsidR="007C3520">
        <w:rPr>
          <w:b w:val="0"/>
          <w:bCs/>
          <w:sz w:val="24"/>
          <w:szCs w:val="20"/>
        </w:rPr>
        <w:t xml:space="preserve"> </w:t>
      </w:r>
      <w:r w:rsidR="007C3520" w:rsidRPr="007C3520">
        <w:rPr>
          <w:b w:val="0"/>
          <w:bCs/>
          <w:sz w:val="24"/>
          <w:szCs w:val="20"/>
        </w:rPr>
        <w:t>[5]</w:t>
      </w:r>
      <w:r w:rsidRPr="00243A23">
        <w:rPr>
          <w:b w:val="0"/>
          <w:bCs/>
          <w:sz w:val="24"/>
          <w:szCs w:val="20"/>
        </w:rPr>
        <w:t>.</w:t>
      </w:r>
    </w:p>
    <w:p w14:paraId="3F68D798" w14:textId="77777777" w:rsidR="008B0D35" w:rsidRDefault="008B0D35" w:rsidP="008B0D35">
      <w:pPr>
        <w:pStyle w:val="FOINaslov2"/>
      </w:pPr>
      <w:r w:rsidRPr="00781BD3">
        <w:t>Procesni pristup</w:t>
      </w:r>
    </w:p>
    <w:p w14:paraId="3423CA4C" w14:textId="77777777" w:rsidR="008B0D35" w:rsidRDefault="008B0D35" w:rsidP="008B0D35">
      <w:pPr>
        <w:pStyle w:val="FOINaslov2"/>
        <w:numPr>
          <w:ilvl w:val="0"/>
          <w:numId w:val="0"/>
        </w:numPr>
        <w:spacing w:line="360" w:lineRule="auto"/>
        <w:ind w:firstLine="708"/>
        <w:rPr>
          <w:b w:val="0"/>
          <w:bCs/>
          <w:sz w:val="24"/>
          <w:szCs w:val="20"/>
        </w:rPr>
      </w:pPr>
      <w:r w:rsidRPr="00781BD3">
        <w:rPr>
          <w:b w:val="0"/>
          <w:bCs/>
          <w:sz w:val="24"/>
          <w:szCs w:val="20"/>
        </w:rPr>
        <w:t>Procesni pristup</w:t>
      </w:r>
      <w:r>
        <w:rPr>
          <w:b w:val="0"/>
          <w:bCs/>
          <w:sz w:val="24"/>
          <w:szCs w:val="20"/>
        </w:rPr>
        <w:t xml:space="preserve"> se </w:t>
      </w:r>
      <w:r w:rsidRPr="00781BD3">
        <w:rPr>
          <w:b w:val="0"/>
          <w:bCs/>
          <w:sz w:val="24"/>
          <w:szCs w:val="20"/>
        </w:rPr>
        <w:t>temelji se na razumijevanju organizacije kao niza povezanih procesa koji zajedno stvaraju vrijednost za kupca. Procesni pristup prepoznaje da su procesi osnova uspješnosti organizacije te da se kvaliteta proizvoda i usluga temelji na kvaliteti procesa koji su uključeni u njihovo stvaranje.</w:t>
      </w:r>
    </w:p>
    <w:p w14:paraId="5C14848C" w14:textId="77777777" w:rsidR="008B0D35" w:rsidRDefault="008B0D35" w:rsidP="008B0D35">
      <w:pPr>
        <w:pStyle w:val="FOINaslov2"/>
        <w:numPr>
          <w:ilvl w:val="0"/>
          <w:numId w:val="0"/>
        </w:numPr>
        <w:spacing w:line="360" w:lineRule="auto"/>
        <w:ind w:firstLine="708"/>
        <w:rPr>
          <w:b w:val="0"/>
          <w:bCs/>
          <w:sz w:val="24"/>
          <w:szCs w:val="20"/>
        </w:rPr>
      </w:pPr>
      <w:r w:rsidRPr="00781BD3">
        <w:rPr>
          <w:b w:val="0"/>
          <w:bCs/>
          <w:sz w:val="24"/>
          <w:szCs w:val="20"/>
        </w:rPr>
        <w:lastRenderedPageBreak/>
        <w:t>Procesni pristup uključuje identificiranje, analizu, mjerenje, upravljanje i unapređivanje ključnih procesa u organizaciji. To podrazumijeva razumijevanje procesa kao skupa aktivnosti koje primaju ulazne resurse, obrađuju ih i proizvode izlazne proizvode ili usluge. Uključenost svih zaposlenika u razumijevanje, upravljanje i unapređivanje procesa je također bitan element procesnog pristupa.</w:t>
      </w:r>
    </w:p>
    <w:p w14:paraId="1A2DDEE1" w14:textId="77777777" w:rsidR="008B0D35" w:rsidRDefault="008B0D35" w:rsidP="008B0D35">
      <w:pPr>
        <w:pStyle w:val="FOINaslov2"/>
        <w:numPr>
          <w:ilvl w:val="0"/>
          <w:numId w:val="0"/>
        </w:numPr>
        <w:spacing w:line="360" w:lineRule="auto"/>
        <w:ind w:firstLine="708"/>
        <w:rPr>
          <w:b w:val="0"/>
          <w:bCs/>
          <w:sz w:val="24"/>
          <w:szCs w:val="20"/>
        </w:rPr>
      </w:pPr>
      <w:r w:rsidRPr="00781BD3">
        <w:rPr>
          <w:b w:val="0"/>
          <w:bCs/>
          <w:sz w:val="24"/>
          <w:szCs w:val="20"/>
        </w:rPr>
        <w:t>Procesni pristup uključuje i uspostavljanje sustava za upravljanje procesima koji omogućuju organizaciji da razvije i primjenjuje najbolje prakse za svaki proces. To uključuje definiranje ciljeva procesa, razvoj mjerača performansi, identificiranje ključnih koraka i potrebnih resursa, te osiguravanje da se procesi izvode u skladu sa standardima i propisima.</w:t>
      </w:r>
    </w:p>
    <w:p w14:paraId="6CCC266B" w14:textId="52CC3E57" w:rsidR="008B0D35" w:rsidRDefault="008B0D35" w:rsidP="008B0D35">
      <w:pPr>
        <w:pStyle w:val="FOINaslov2"/>
        <w:numPr>
          <w:ilvl w:val="0"/>
          <w:numId w:val="0"/>
        </w:numPr>
        <w:spacing w:line="360" w:lineRule="auto"/>
        <w:ind w:firstLine="708"/>
        <w:rPr>
          <w:b w:val="0"/>
          <w:bCs/>
          <w:sz w:val="24"/>
          <w:szCs w:val="20"/>
        </w:rPr>
      </w:pPr>
      <w:r w:rsidRPr="00781BD3">
        <w:rPr>
          <w:b w:val="0"/>
          <w:bCs/>
          <w:sz w:val="24"/>
          <w:szCs w:val="20"/>
        </w:rPr>
        <w:t>Korištenjem procesnog pristupa, organizacija se može usredotočiti na procese koji stvaraju vrijednost za kupca i na taj način povećati njihovu učinkovitost i učinkovitost organizacije u cjelini. Ovaj pristup omogućuje organizaciji da identificira i riješi probleme u procesima, te da ih kontinuirano poboljšava kako bi se postigla bolja kvaliteta proizvoda i usluga za kupce</w:t>
      </w:r>
      <w:r w:rsidR="009228DF">
        <w:rPr>
          <w:b w:val="0"/>
          <w:bCs/>
          <w:sz w:val="24"/>
          <w:szCs w:val="20"/>
        </w:rPr>
        <w:t xml:space="preserve"> [4]</w:t>
      </w:r>
      <w:r w:rsidR="007C3520">
        <w:rPr>
          <w:b w:val="0"/>
          <w:bCs/>
          <w:sz w:val="24"/>
          <w:szCs w:val="20"/>
        </w:rPr>
        <w:t xml:space="preserve"> </w:t>
      </w:r>
      <w:r w:rsidR="007C3520" w:rsidRPr="007C3520">
        <w:rPr>
          <w:b w:val="0"/>
          <w:bCs/>
          <w:sz w:val="24"/>
          <w:szCs w:val="20"/>
        </w:rPr>
        <w:t>[5]</w:t>
      </w:r>
      <w:r w:rsidRPr="00781BD3">
        <w:rPr>
          <w:b w:val="0"/>
          <w:bCs/>
          <w:sz w:val="24"/>
          <w:szCs w:val="20"/>
        </w:rPr>
        <w:t>.</w:t>
      </w:r>
    </w:p>
    <w:p w14:paraId="6EEAB80D" w14:textId="77777777" w:rsidR="008B0D35" w:rsidRDefault="008B0D35" w:rsidP="008B0D35">
      <w:pPr>
        <w:pStyle w:val="FOINaslov2"/>
      </w:pPr>
      <w:r>
        <w:t>U</w:t>
      </w:r>
      <w:r w:rsidRPr="00781BD3">
        <w:t>pravljanje uz pomoć podataka i odlučivanje na temelju činjenica</w:t>
      </w:r>
    </w:p>
    <w:p w14:paraId="3DA3BB31" w14:textId="77777777" w:rsidR="008B0D35" w:rsidRDefault="008B0D35" w:rsidP="008B0D35">
      <w:pPr>
        <w:pStyle w:val="FOINaslov2"/>
        <w:numPr>
          <w:ilvl w:val="0"/>
          <w:numId w:val="0"/>
        </w:numPr>
        <w:spacing w:line="360" w:lineRule="auto"/>
        <w:ind w:firstLine="708"/>
        <w:rPr>
          <w:b w:val="0"/>
          <w:bCs/>
          <w:sz w:val="24"/>
          <w:szCs w:val="20"/>
        </w:rPr>
      </w:pPr>
      <w:r w:rsidRPr="00781BD3">
        <w:rPr>
          <w:b w:val="0"/>
          <w:bCs/>
          <w:sz w:val="24"/>
          <w:szCs w:val="20"/>
        </w:rPr>
        <w:t>Upravljanje uz pomoć podataka i odlučivanje na temelju činjenica</w:t>
      </w:r>
      <w:r>
        <w:rPr>
          <w:b w:val="0"/>
          <w:bCs/>
          <w:sz w:val="24"/>
          <w:szCs w:val="20"/>
        </w:rPr>
        <w:t xml:space="preserve"> </w:t>
      </w:r>
      <w:r w:rsidRPr="00781BD3">
        <w:rPr>
          <w:b w:val="0"/>
          <w:bCs/>
          <w:sz w:val="24"/>
          <w:szCs w:val="20"/>
        </w:rPr>
        <w:t>je pristup koji se temelji na korištenju kvantitativnih podataka za donošenje odluka i upravljanje organizacijom.</w:t>
      </w:r>
      <w:r>
        <w:rPr>
          <w:b w:val="0"/>
          <w:bCs/>
          <w:sz w:val="24"/>
          <w:szCs w:val="20"/>
        </w:rPr>
        <w:t xml:space="preserve"> </w:t>
      </w:r>
      <w:r w:rsidRPr="00781BD3">
        <w:rPr>
          <w:b w:val="0"/>
          <w:bCs/>
          <w:sz w:val="24"/>
          <w:szCs w:val="20"/>
        </w:rPr>
        <w:t>Ovaj pristup uključuje sakupljanje podataka iz različitih izvora, njihovo analiziranje i interpretiranje kako bi se dobila relevantna informacija o poslovanju organizacije. Na temelju ove informacije, donositelji odluka mogu donijeti bolje i informiranije odluke.</w:t>
      </w:r>
    </w:p>
    <w:p w14:paraId="4D511301" w14:textId="77777777" w:rsidR="008B0D35" w:rsidRDefault="008B0D35" w:rsidP="008B0D35">
      <w:pPr>
        <w:pStyle w:val="FOINaslov2"/>
        <w:numPr>
          <w:ilvl w:val="0"/>
          <w:numId w:val="0"/>
        </w:numPr>
        <w:spacing w:line="360" w:lineRule="auto"/>
        <w:ind w:left="357" w:hanging="357"/>
        <w:rPr>
          <w:b w:val="0"/>
          <w:bCs/>
          <w:sz w:val="24"/>
          <w:szCs w:val="20"/>
        </w:rPr>
      </w:pPr>
      <w:r w:rsidRPr="00781BD3">
        <w:rPr>
          <w:b w:val="0"/>
          <w:bCs/>
          <w:sz w:val="24"/>
          <w:szCs w:val="20"/>
        </w:rPr>
        <w:t>Upravljanje uz pomoć podataka i odlučivanje na temelju činjenica uključuje sljedeće korake:</w:t>
      </w:r>
    </w:p>
    <w:p w14:paraId="3A52DCCA" w14:textId="77777777" w:rsidR="008B0D35" w:rsidRPr="00781BD3" w:rsidRDefault="008B0D35" w:rsidP="008B0D35">
      <w:pPr>
        <w:pStyle w:val="ListParagraph"/>
        <w:numPr>
          <w:ilvl w:val="0"/>
          <w:numId w:val="15"/>
        </w:numPr>
        <w:spacing w:line="360" w:lineRule="auto"/>
        <w:rPr>
          <w:bCs/>
          <w:szCs w:val="20"/>
        </w:rPr>
      </w:pPr>
      <w:r w:rsidRPr="00781BD3">
        <w:rPr>
          <w:bCs/>
          <w:szCs w:val="20"/>
        </w:rPr>
        <w:t>Definiranje problema ili prilike za poboljšanje: prvi korak u ovom pristupu je identificiranje problema ili prilike za poboljšanje u organizaciji. To može uključivati analizu trendova, proučavanje povratnih informacija od kupaca ili zaposlenika ili istraživanje tržišta.</w:t>
      </w:r>
    </w:p>
    <w:p w14:paraId="17ECF98B" w14:textId="77777777" w:rsidR="008B0D35" w:rsidRPr="00781BD3" w:rsidRDefault="008B0D35" w:rsidP="008B0D35">
      <w:pPr>
        <w:pStyle w:val="ListParagraph"/>
        <w:numPr>
          <w:ilvl w:val="0"/>
          <w:numId w:val="15"/>
        </w:numPr>
        <w:spacing w:line="360" w:lineRule="auto"/>
        <w:rPr>
          <w:bCs/>
          <w:szCs w:val="20"/>
        </w:rPr>
      </w:pPr>
      <w:r w:rsidRPr="00781BD3">
        <w:rPr>
          <w:bCs/>
          <w:szCs w:val="20"/>
        </w:rPr>
        <w:t>Sakupljanje i obrada podataka: nakon što je problem ili prilika za poboljšanje identificirana, sljedeći korak je sakupljanje podataka koji se odnose na taj problem. Ovi podaci se mogu prikupiti iz različitih izvora, uključujući ankete, istraživanja tržišta, analize troškova i prihoda, tehnološke metrike i druge.</w:t>
      </w:r>
    </w:p>
    <w:p w14:paraId="792DF9E6" w14:textId="77777777" w:rsidR="008B0D35" w:rsidRPr="00781BD3" w:rsidRDefault="008B0D35" w:rsidP="008B0D35">
      <w:pPr>
        <w:pStyle w:val="ListParagraph"/>
        <w:numPr>
          <w:ilvl w:val="0"/>
          <w:numId w:val="15"/>
        </w:numPr>
        <w:spacing w:line="360" w:lineRule="auto"/>
        <w:rPr>
          <w:bCs/>
          <w:szCs w:val="20"/>
        </w:rPr>
      </w:pPr>
      <w:r w:rsidRPr="00781BD3">
        <w:rPr>
          <w:bCs/>
          <w:szCs w:val="20"/>
        </w:rPr>
        <w:lastRenderedPageBreak/>
        <w:t>Analiza i interpretacija podataka: nakon sakupljanja podataka, sljedeći korak je analiza i interpretacija tih podataka kako bi se dobila relevantna informacija o poslovanju organizacije. To uključuje primjenu statističkih alata za analizu podataka, vizualizaciju podataka i identifikaciju uzoraka.</w:t>
      </w:r>
    </w:p>
    <w:p w14:paraId="73D8D36E" w14:textId="008072AA" w:rsidR="008B0D35" w:rsidRPr="00781BD3" w:rsidRDefault="008B0D35" w:rsidP="008B0D35">
      <w:pPr>
        <w:pStyle w:val="ListParagraph"/>
        <w:numPr>
          <w:ilvl w:val="0"/>
          <w:numId w:val="15"/>
        </w:numPr>
        <w:spacing w:line="360" w:lineRule="auto"/>
        <w:rPr>
          <w:bCs/>
          <w:szCs w:val="20"/>
        </w:rPr>
      </w:pPr>
      <w:r w:rsidRPr="00781BD3">
        <w:rPr>
          <w:bCs/>
          <w:szCs w:val="20"/>
        </w:rPr>
        <w:t>Donošenje odluka na temelju činjenica: na temelju analize i interpretacije podataka, donositelji odluka mogu donijeti odluke koje su utemeljene na činjenicama i podacima. To uključuje odabir najboljih opcija za rješavanje problema ili poboljšanja u organizaciji.</w:t>
      </w:r>
      <w:r w:rsidR="007C3520">
        <w:rPr>
          <w:bCs/>
          <w:szCs w:val="20"/>
        </w:rPr>
        <w:t xml:space="preserve"> </w:t>
      </w:r>
    </w:p>
    <w:p w14:paraId="60340BEF" w14:textId="46B2DD17" w:rsidR="008B0D35" w:rsidRDefault="008B0D35" w:rsidP="008B0D35">
      <w:pPr>
        <w:pStyle w:val="ListParagraph"/>
        <w:numPr>
          <w:ilvl w:val="0"/>
          <w:numId w:val="15"/>
        </w:numPr>
        <w:spacing w:line="360" w:lineRule="auto"/>
        <w:rPr>
          <w:bCs/>
          <w:szCs w:val="20"/>
        </w:rPr>
      </w:pPr>
      <w:r w:rsidRPr="00781BD3">
        <w:rPr>
          <w:bCs/>
          <w:szCs w:val="20"/>
        </w:rPr>
        <w:t>Praćenje i evaluacija rezultata: nakon donošenja odluka, sljedeći korak je praćenje i evaluacija rezultata. To uključuje praćenje implementacije odluka i mjerenje učinka kako bi se osiguralo da su donesene odluke učinkovite i da su postavljeni ciljevi ostvareni</w:t>
      </w:r>
      <w:r w:rsidR="009228DF">
        <w:rPr>
          <w:bCs/>
          <w:szCs w:val="20"/>
        </w:rPr>
        <w:t>.</w:t>
      </w:r>
    </w:p>
    <w:p w14:paraId="47BABC18" w14:textId="77777777" w:rsidR="008B0D35" w:rsidRDefault="008B0D35" w:rsidP="008B0D35">
      <w:pPr>
        <w:spacing w:line="276" w:lineRule="auto"/>
        <w:ind w:left="360"/>
        <w:rPr>
          <w:bCs/>
          <w:szCs w:val="20"/>
        </w:rPr>
      </w:pPr>
    </w:p>
    <w:p w14:paraId="61CED09D" w14:textId="77777777" w:rsidR="008B0D35" w:rsidRPr="00CB3066" w:rsidRDefault="008B0D35" w:rsidP="008B0D35">
      <w:pPr>
        <w:spacing w:line="276" w:lineRule="auto"/>
        <w:ind w:left="360"/>
        <w:rPr>
          <w:bCs/>
          <w:szCs w:val="20"/>
        </w:rPr>
      </w:pPr>
    </w:p>
    <w:p w14:paraId="56260674" w14:textId="77777777" w:rsidR="008B0D35" w:rsidRDefault="008B0D35" w:rsidP="008B0D35">
      <w:pPr>
        <w:spacing w:line="360" w:lineRule="auto"/>
        <w:ind w:firstLine="708"/>
        <w:rPr>
          <w:bCs/>
          <w:szCs w:val="20"/>
        </w:rPr>
      </w:pPr>
      <w:r w:rsidRPr="00CB3066">
        <w:rPr>
          <w:bCs/>
          <w:szCs w:val="20"/>
        </w:rPr>
        <w:t>Korištenjem upravljanja uz pomoć podataka i odlučivanja na temelju činjenica, organizacija može donositi bolje i informiranije odluke, što dovodi do boljih poslovnih rezultata. Ovaj pristup također omogućuje organizaciji da brzo reagira na promjene u okruženju i prilagodi se novim uvjetima poslovanja.</w:t>
      </w:r>
    </w:p>
    <w:p w14:paraId="0BD26DCE" w14:textId="77777777" w:rsidR="008B0D35" w:rsidRPr="00CB3066" w:rsidRDefault="008B0D35" w:rsidP="008B0D35">
      <w:pPr>
        <w:spacing w:line="360" w:lineRule="auto"/>
        <w:ind w:firstLine="708"/>
        <w:rPr>
          <w:bCs/>
          <w:szCs w:val="20"/>
        </w:rPr>
      </w:pPr>
    </w:p>
    <w:p w14:paraId="22CB2D43" w14:textId="77777777" w:rsidR="008B0D35" w:rsidRDefault="008B0D35" w:rsidP="008B0D35">
      <w:pPr>
        <w:spacing w:line="360" w:lineRule="auto"/>
        <w:ind w:firstLine="708"/>
        <w:rPr>
          <w:bCs/>
          <w:szCs w:val="20"/>
        </w:rPr>
      </w:pPr>
      <w:r w:rsidRPr="00CB3066">
        <w:rPr>
          <w:bCs/>
          <w:szCs w:val="20"/>
        </w:rPr>
        <w:t>Upravljanje uz pomoć podataka također potiče kulturu kontinuiranog poboljšanja u organizaciji. Kada se podaci prikupljaju i analiziraju na redovnoj osnovi, organizacija može identificirati prilike za poboljšanje i donositi odluke na temelju činjenica. To omogućuje organizaciji da neprestano poboljšava svoje procese, proizvode i usluge, čime se postiže veća efikasnost i efektivnost poslovanja.</w:t>
      </w:r>
    </w:p>
    <w:p w14:paraId="67942A5F" w14:textId="77777777" w:rsidR="008B0D35" w:rsidRDefault="008B0D35" w:rsidP="008B0D35">
      <w:pPr>
        <w:spacing w:line="360" w:lineRule="auto"/>
        <w:ind w:firstLine="708"/>
        <w:rPr>
          <w:bCs/>
          <w:szCs w:val="20"/>
        </w:rPr>
      </w:pPr>
    </w:p>
    <w:p w14:paraId="3A2A5FD8" w14:textId="13F915FD" w:rsidR="008B0D35" w:rsidRDefault="008B0D35" w:rsidP="008B0D35">
      <w:pPr>
        <w:spacing w:line="360" w:lineRule="auto"/>
        <w:ind w:firstLine="708"/>
        <w:rPr>
          <w:bCs/>
          <w:szCs w:val="20"/>
        </w:rPr>
      </w:pPr>
      <w:r w:rsidRPr="00CB3066">
        <w:rPr>
          <w:bCs/>
          <w:szCs w:val="20"/>
        </w:rPr>
        <w:t>Upravljanje uz pomoć podataka također pomaže organizaciji da se usredotoči na ključne performanse indikatore (KPI), koji su od vitalne važnosti za uspješnost poslovanja. Ovaj pristup omogućuje organizaciji da prikupi relevantne podatke o KPI-ima i analizira ih kako bi se donijele informirane odluke koje će poboljšati poslovanje</w:t>
      </w:r>
      <w:r w:rsidR="009228DF">
        <w:rPr>
          <w:bCs/>
          <w:szCs w:val="20"/>
        </w:rPr>
        <w:t xml:space="preserve"> </w:t>
      </w:r>
      <w:bookmarkStart w:id="6" w:name="_Hlk134266915"/>
      <w:r w:rsidR="009228DF">
        <w:rPr>
          <w:bCs/>
          <w:szCs w:val="20"/>
        </w:rPr>
        <w:t>[4]</w:t>
      </w:r>
      <w:r w:rsidR="007C3520">
        <w:rPr>
          <w:bCs/>
          <w:szCs w:val="20"/>
        </w:rPr>
        <w:t xml:space="preserve"> </w:t>
      </w:r>
      <w:r w:rsidR="007C3520">
        <w:t>[5]</w:t>
      </w:r>
      <w:r w:rsidRPr="00CB3066">
        <w:rPr>
          <w:bCs/>
          <w:szCs w:val="20"/>
        </w:rPr>
        <w:t>.</w:t>
      </w:r>
      <w:bookmarkEnd w:id="6"/>
    </w:p>
    <w:p w14:paraId="06ABB970" w14:textId="77777777" w:rsidR="008B0D35" w:rsidRDefault="008B0D35" w:rsidP="008B0D35">
      <w:pPr>
        <w:pStyle w:val="FOINaslov2"/>
      </w:pPr>
      <w:r w:rsidRPr="0083371A">
        <w:t>Odnos s dobavljačima</w:t>
      </w:r>
    </w:p>
    <w:p w14:paraId="04F5BA9C" w14:textId="77777777" w:rsidR="008B0D35" w:rsidRDefault="008B0D35" w:rsidP="008B0D35">
      <w:pPr>
        <w:pStyle w:val="FOINaslov2"/>
        <w:numPr>
          <w:ilvl w:val="0"/>
          <w:numId w:val="0"/>
        </w:numPr>
        <w:spacing w:line="360" w:lineRule="auto"/>
        <w:ind w:firstLine="708"/>
        <w:rPr>
          <w:b w:val="0"/>
          <w:bCs/>
          <w:sz w:val="24"/>
          <w:szCs w:val="20"/>
        </w:rPr>
      </w:pPr>
      <w:r w:rsidRPr="0083371A">
        <w:rPr>
          <w:b w:val="0"/>
          <w:bCs/>
          <w:sz w:val="24"/>
          <w:szCs w:val="20"/>
        </w:rPr>
        <w:t>Odnosi s dobavljačem su ključni element Total Quality Managementa (TQM) jer organizacije često ovise o svojim dobavljačima kako bi osigurale kvalitetne sirovine i materijale te osigurale efikasnost u proizvodnji.</w:t>
      </w:r>
    </w:p>
    <w:p w14:paraId="620499A2" w14:textId="77777777" w:rsidR="008B0D35" w:rsidRDefault="008B0D35" w:rsidP="008B0D35">
      <w:pPr>
        <w:pStyle w:val="FOINaslov2"/>
        <w:numPr>
          <w:ilvl w:val="0"/>
          <w:numId w:val="0"/>
        </w:numPr>
        <w:spacing w:line="360" w:lineRule="auto"/>
        <w:ind w:firstLine="708"/>
        <w:rPr>
          <w:b w:val="0"/>
          <w:bCs/>
          <w:sz w:val="24"/>
          <w:szCs w:val="20"/>
        </w:rPr>
      </w:pPr>
      <w:r w:rsidRPr="0083371A">
        <w:rPr>
          <w:b w:val="0"/>
          <w:bCs/>
          <w:sz w:val="24"/>
          <w:szCs w:val="20"/>
        </w:rPr>
        <w:lastRenderedPageBreak/>
        <w:t>Kada se primjenjuje TQM pristup, organizacije traže dobavljače koji dijele njihove vrijednosti i ciljeve u pogledu kvalitete proizvoda i usluga. Ovo je važno jer kvaliteta proizvoda i usluga organizacije ovisi o kvaliteti sirovina i materijala koje dobivaju od svojih dobavljača. Stoga je važno surađivati s dobavljačima koji su spremni surađivati na poboljšanju kvalitete proizvoda i usluga te pružiti potrebnu podršku u tom procesu.</w:t>
      </w:r>
    </w:p>
    <w:p w14:paraId="6586C712" w14:textId="77777777" w:rsidR="008B0D35" w:rsidRDefault="008B0D35" w:rsidP="008B0D35">
      <w:pPr>
        <w:pStyle w:val="FOINaslov2"/>
        <w:numPr>
          <w:ilvl w:val="0"/>
          <w:numId w:val="0"/>
        </w:numPr>
        <w:spacing w:line="360" w:lineRule="auto"/>
        <w:ind w:firstLine="708"/>
        <w:rPr>
          <w:b w:val="0"/>
          <w:bCs/>
          <w:sz w:val="24"/>
          <w:szCs w:val="20"/>
        </w:rPr>
      </w:pPr>
      <w:r w:rsidRPr="0083371A">
        <w:rPr>
          <w:b w:val="0"/>
          <w:bCs/>
          <w:sz w:val="24"/>
          <w:szCs w:val="20"/>
        </w:rPr>
        <w:t>Odnosi s dobavljačima se također mogu poboljšati kroz suradnju u procesu kontrole kvalitete. Kada organizacije surađuju s dobavljačima kako bi provjerili kvalitetu isporučenih sirovina i materijala, mogu se izbjeći problemi u proizvodnji i osigurati kvaliteta proizvoda. Također, kada se provodi proces kontrole kvalitete, organizacije mogu identificirati slabosti u svojim dobavljačima i pružiti im potrebnu podršku kako bi se poboljšao kvalitet proizvoda i usluga.</w:t>
      </w:r>
    </w:p>
    <w:p w14:paraId="7E8FFAF7" w14:textId="06446120" w:rsidR="008B0D35" w:rsidRDefault="008B0D35" w:rsidP="008B0D35">
      <w:pPr>
        <w:pStyle w:val="FOINaslov2"/>
        <w:numPr>
          <w:ilvl w:val="0"/>
          <w:numId w:val="0"/>
        </w:numPr>
        <w:spacing w:line="360" w:lineRule="auto"/>
        <w:ind w:firstLine="708"/>
        <w:rPr>
          <w:b w:val="0"/>
          <w:bCs/>
          <w:sz w:val="24"/>
          <w:szCs w:val="20"/>
        </w:rPr>
      </w:pPr>
      <w:r w:rsidRPr="0083371A">
        <w:rPr>
          <w:b w:val="0"/>
          <w:bCs/>
          <w:sz w:val="24"/>
          <w:szCs w:val="20"/>
        </w:rPr>
        <w:t>Uz to, TQM pristup potiče otvorenu i transparentnu komunikaciju s dobavljačima. Ovo uključuje jasno definiranje očekivanja u pogledu kvalitete proizvoda i usluga, zajedničko definiranje ciljeva te razmjenu informacija o performansama i izazovima u proizvodnji. Kada organizacije komuniciraju s dobavljačima na ovaj način, stvara se veza povjerenja koja je ključna za uspjeh u poslovanj</w:t>
      </w:r>
      <w:r w:rsidR="009228DF">
        <w:rPr>
          <w:b w:val="0"/>
          <w:bCs/>
          <w:sz w:val="24"/>
          <w:szCs w:val="20"/>
        </w:rPr>
        <w:t xml:space="preserve">u </w:t>
      </w:r>
      <w:r w:rsidR="009228DF" w:rsidRPr="009228DF">
        <w:rPr>
          <w:b w:val="0"/>
          <w:bCs/>
          <w:sz w:val="24"/>
          <w:szCs w:val="20"/>
        </w:rPr>
        <w:t>[4]</w:t>
      </w:r>
      <w:r w:rsidR="007C3520">
        <w:rPr>
          <w:b w:val="0"/>
          <w:bCs/>
          <w:sz w:val="24"/>
          <w:szCs w:val="20"/>
        </w:rPr>
        <w:t xml:space="preserve"> </w:t>
      </w:r>
      <w:r w:rsidR="007C3520" w:rsidRPr="007C3520">
        <w:rPr>
          <w:b w:val="0"/>
          <w:bCs/>
          <w:sz w:val="24"/>
          <w:szCs w:val="20"/>
        </w:rPr>
        <w:t>[5]</w:t>
      </w:r>
      <w:r w:rsidR="009228DF" w:rsidRPr="009228DF">
        <w:rPr>
          <w:b w:val="0"/>
          <w:bCs/>
          <w:sz w:val="24"/>
          <w:szCs w:val="20"/>
        </w:rPr>
        <w:t>.</w:t>
      </w:r>
    </w:p>
    <w:p w14:paraId="749BD87A" w14:textId="77777777" w:rsidR="008B0D35" w:rsidRDefault="008B0D35" w:rsidP="008B0D35">
      <w:pPr>
        <w:pStyle w:val="FOINaslov2"/>
      </w:pPr>
      <w:r w:rsidRPr="0083371A">
        <w:t xml:space="preserve">Sustavni pristup menadžmentu </w:t>
      </w:r>
    </w:p>
    <w:p w14:paraId="19CCBF2D" w14:textId="77777777" w:rsidR="008B0D35" w:rsidRDefault="008B0D35" w:rsidP="008B0D35">
      <w:pPr>
        <w:pStyle w:val="FOINaslov2"/>
        <w:numPr>
          <w:ilvl w:val="0"/>
          <w:numId w:val="0"/>
        </w:numPr>
        <w:spacing w:line="360" w:lineRule="auto"/>
        <w:ind w:firstLine="708"/>
        <w:rPr>
          <w:b w:val="0"/>
          <w:bCs/>
          <w:sz w:val="24"/>
          <w:szCs w:val="20"/>
        </w:rPr>
      </w:pPr>
      <w:r w:rsidRPr="00951F8D">
        <w:rPr>
          <w:b w:val="0"/>
          <w:bCs/>
          <w:sz w:val="24"/>
          <w:szCs w:val="20"/>
        </w:rPr>
        <w:t>Sustavni pristup menadžmentu</w:t>
      </w:r>
      <w:r>
        <w:t xml:space="preserve"> </w:t>
      </w:r>
      <w:r w:rsidRPr="00951F8D">
        <w:rPr>
          <w:b w:val="0"/>
          <w:bCs/>
          <w:sz w:val="24"/>
          <w:szCs w:val="20"/>
        </w:rPr>
        <w:t>podrazumijeva pristup koji se fokusira na upravljanje organizacijom kao cjelinom, a ne samo na upravljanje pojedinačnim procesima i aktivnostima.</w:t>
      </w:r>
    </w:p>
    <w:p w14:paraId="5ECEE8C1" w14:textId="77777777" w:rsidR="008B0D35" w:rsidRDefault="008B0D35" w:rsidP="008B0D35">
      <w:pPr>
        <w:pStyle w:val="FOINaslov2"/>
        <w:numPr>
          <w:ilvl w:val="0"/>
          <w:numId w:val="0"/>
        </w:numPr>
        <w:spacing w:line="360" w:lineRule="auto"/>
        <w:ind w:firstLine="708"/>
        <w:rPr>
          <w:b w:val="0"/>
          <w:bCs/>
          <w:sz w:val="24"/>
          <w:szCs w:val="20"/>
        </w:rPr>
      </w:pPr>
      <w:r w:rsidRPr="00951F8D">
        <w:rPr>
          <w:b w:val="0"/>
          <w:bCs/>
          <w:sz w:val="24"/>
          <w:szCs w:val="20"/>
        </w:rPr>
        <w:t>Sustavni pristup menadžmentu pretpostavlja da organizacija mora biti strukturirana kao sustav, koji se sastoji od različitih međusobno povezanih procesa, funkcija i aktivnosti, a koji djeluju u sinergiji kako bi se postigao cilj organizacije. Ovaj pristup traži da organizacija razvije jasnu viziju i strategiju poslovanja te da uspostavi sustav upravljanja koji će osigurati da svi procesi i aktivnosti u organizaciji djeluju u skladu s tim ciljevima.</w:t>
      </w:r>
    </w:p>
    <w:p w14:paraId="42C411EC" w14:textId="77777777" w:rsidR="008B0D35" w:rsidRDefault="008B0D35" w:rsidP="008B0D35">
      <w:pPr>
        <w:pStyle w:val="FOINaslov2"/>
        <w:numPr>
          <w:ilvl w:val="0"/>
          <w:numId w:val="0"/>
        </w:numPr>
        <w:spacing w:line="360" w:lineRule="auto"/>
        <w:ind w:left="357" w:hanging="357"/>
        <w:rPr>
          <w:b w:val="0"/>
          <w:bCs/>
          <w:sz w:val="24"/>
          <w:szCs w:val="20"/>
        </w:rPr>
      </w:pPr>
      <w:r w:rsidRPr="00951F8D">
        <w:rPr>
          <w:b w:val="0"/>
          <w:bCs/>
          <w:sz w:val="24"/>
          <w:szCs w:val="20"/>
        </w:rPr>
        <w:t>Sustavni pristup menadžmentu uključuje sljedeće ključne elemente:</w:t>
      </w:r>
    </w:p>
    <w:p w14:paraId="76F07475" w14:textId="77777777" w:rsidR="008B0D35" w:rsidRPr="00951F8D" w:rsidRDefault="008B0D35" w:rsidP="008B0D35">
      <w:pPr>
        <w:pStyle w:val="ListParagraph"/>
        <w:numPr>
          <w:ilvl w:val="0"/>
          <w:numId w:val="16"/>
        </w:numPr>
        <w:spacing w:line="360" w:lineRule="auto"/>
        <w:rPr>
          <w:bCs/>
          <w:szCs w:val="20"/>
        </w:rPr>
      </w:pPr>
      <w:r w:rsidRPr="00951F8D">
        <w:rPr>
          <w:bCs/>
          <w:szCs w:val="20"/>
        </w:rPr>
        <w:t>Upravljanje procesima - Upravljanje procesima podrazumijeva razumijevanje svih procesa koji se odvijaju unutar organizacije, njihovu optimizaciju i nadzor kako bi se osigurala njihova učinkovitost i učinkovitost organizacije u cjelini.</w:t>
      </w:r>
    </w:p>
    <w:p w14:paraId="01B091A9" w14:textId="77777777" w:rsidR="008B0D35" w:rsidRPr="00951F8D" w:rsidRDefault="008B0D35" w:rsidP="008B0D35">
      <w:pPr>
        <w:pStyle w:val="ListParagraph"/>
        <w:numPr>
          <w:ilvl w:val="0"/>
          <w:numId w:val="16"/>
        </w:numPr>
        <w:spacing w:line="360" w:lineRule="auto"/>
        <w:rPr>
          <w:bCs/>
          <w:szCs w:val="20"/>
        </w:rPr>
      </w:pPr>
      <w:r w:rsidRPr="00951F8D">
        <w:rPr>
          <w:bCs/>
          <w:szCs w:val="20"/>
        </w:rPr>
        <w:t xml:space="preserve">Upravljanje resursima - Upravljanje resursima uključuje upravljanje svim resursima koji su potrebni za poslovanje organizacije, uključujući ljudske resurse, materijalne i </w:t>
      </w:r>
      <w:r w:rsidRPr="00951F8D">
        <w:rPr>
          <w:bCs/>
          <w:szCs w:val="20"/>
        </w:rPr>
        <w:lastRenderedPageBreak/>
        <w:t>financijske resurse. Upravljanje resursima ima za cilj osigurati da se resursi organizacije koriste na najbolji mogući način i da se optimizira njihova upotreba kako bi se postigli ciljevi organizacije.</w:t>
      </w:r>
    </w:p>
    <w:p w14:paraId="6DD0BC43" w14:textId="77777777" w:rsidR="008B0D35" w:rsidRPr="00951F8D" w:rsidRDefault="008B0D35" w:rsidP="008B0D35">
      <w:pPr>
        <w:pStyle w:val="ListParagraph"/>
        <w:numPr>
          <w:ilvl w:val="0"/>
          <w:numId w:val="16"/>
        </w:numPr>
        <w:spacing w:line="360" w:lineRule="auto"/>
        <w:rPr>
          <w:bCs/>
          <w:szCs w:val="20"/>
        </w:rPr>
      </w:pPr>
      <w:r w:rsidRPr="00951F8D">
        <w:rPr>
          <w:bCs/>
          <w:szCs w:val="20"/>
        </w:rPr>
        <w:t>Upravljanje ljudima - Upravljanje ljudima podrazumijeva razumijevanje i upravljanje ljudskim resursima organizacije. To uključuje upravljanje zaposlenicima, njihovim motivacijama, obrazovanjem i razvojem, kao i upravljanje odnosima s kupcima, dobavljačima i drugim dionicima.</w:t>
      </w:r>
    </w:p>
    <w:p w14:paraId="7BD33533" w14:textId="77777777" w:rsidR="008B0D35" w:rsidRPr="00951F8D" w:rsidRDefault="008B0D35" w:rsidP="008B0D35">
      <w:pPr>
        <w:pStyle w:val="ListParagraph"/>
        <w:numPr>
          <w:ilvl w:val="0"/>
          <w:numId w:val="16"/>
        </w:numPr>
        <w:spacing w:line="360" w:lineRule="auto"/>
        <w:rPr>
          <w:bCs/>
          <w:szCs w:val="20"/>
        </w:rPr>
      </w:pPr>
      <w:r w:rsidRPr="00951F8D">
        <w:rPr>
          <w:bCs/>
          <w:szCs w:val="20"/>
        </w:rPr>
        <w:t>Upravljanje kontinuiranim poboljšanjem - Upravljanje kontinuiranim poboljšanjem uključuje proces stalnog poboljšanja kvalitete proizvoda i usluga organizacije kroz uspostavljanje ciljeva, mjerenje performansi i nadzor nad procesima. Upravljanje kontinuiranim poboljšanjem osigurava da organizacija uvijek radi na poboljšanju svojih procesa, a time i svoje efikasnosti i konkurentnosti.</w:t>
      </w:r>
    </w:p>
    <w:p w14:paraId="70ACD4CB" w14:textId="77777777" w:rsidR="008B0D35" w:rsidRDefault="008B0D35" w:rsidP="008B0D35">
      <w:pPr>
        <w:pStyle w:val="FOINaslov2"/>
        <w:numPr>
          <w:ilvl w:val="0"/>
          <w:numId w:val="0"/>
        </w:numPr>
        <w:spacing w:line="360" w:lineRule="auto"/>
        <w:ind w:left="720"/>
        <w:rPr>
          <w:b w:val="0"/>
          <w:bCs/>
          <w:sz w:val="24"/>
          <w:szCs w:val="20"/>
        </w:rPr>
      </w:pPr>
    </w:p>
    <w:p w14:paraId="316C65E9" w14:textId="77777777" w:rsidR="008B0D35" w:rsidRDefault="008B0D35" w:rsidP="008B0D35">
      <w:pPr>
        <w:pStyle w:val="FOINaslov2"/>
        <w:numPr>
          <w:ilvl w:val="0"/>
          <w:numId w:val="0"/>
        </w:numPr>
        <w:spacing w:line="360" w:lineRule="auto"/>
        <w:ind w:firstLine="708"/>
        <w:rPr>
          <w:b w:val="0"/>
          <w:bCs/>
          <w:sz w:val="24"/>
          <w:szCs w:val="20"/>
        </w:rPr>
      </w:pPr>
      <w:r w:rsidRPr="00951F8D">
        <w:rPr>
          <w:b w:val="0"/>
          <w:bCs/>
          <w:sz w:val="24"/>
          <w:szCs w:val="20"/>
        </w:rPr>
        <w:t>Sustavni pristup menadžmentu također potiče organizacije da preuzmu odgovornost za sve aspekte poslovanja, uključujući ekološku održivost i društvenu odgovornost. To podrazumijeva uspostavljanje politike i ciljeva koji su usklađeni s društvenim i ekološkim vrijednostima, kao i sa zakonskim i regulatornim zahtjevima.</w:t>
      </w:r>
    </w:p>
    <w:p w14:paraId="268E605B" w14:textId="77777777" w:rsidR="008B0D35" w:rsidRDefault="008B0D35" w:rsidP="008B0D35">
      <w:pPr>
        <w:pStyle w:val="FOINaslov2"/>
        <w:numPr>
          <w:ilvl w:val="0"/>
          <w:numId w:val="0"/>
        </w:numPr>
        <w:spacing w:line="360" w:lineRule="auto"/>
        <w:ind w:firstLine="708"/>
        <w:rPr>
          <w:b w:val="0"/>
          <w:bCs/>
          <w:sz w:val="24"/>
          <w:szCs w:val="20"/>
        </w:rPr>
      </w:pPr>
      <w:r w:rsidRPr="00951F8D">
        <w:rPr>
          <w:b w:val="0"/>
          <w:bCs/>
          <w:sz w:val="24"/>
          <w:szCs w:val="20"/>
        </w:rPr>
        <w:t>Ovaj pristup zahtijeva da se organizacije oslanjaju na činjenice i podatke u procesu odlučivanja, a ne samo na intuiciju i iskustvo menadžera. Podatke i informacije o performansama procesa, proizvoda i usluga moraju se prikupljati, analizirati i koristiti za donošenje odluka i za daljnje poboljšanje kvalitete proizvoda i usluga.</w:t>
      </w:r>
    </w:p>
    <w:p w14:paraId="3F134C30" w14:textId="302A2FD4" w:rsidR="008B0D35" w:rsidRDefault="008B0D35" w:rsidP="008B0D35">
      <w:pPr>
        <w:pStyle w:val="FOINaslov2"/>
        <w:numPr>
          <w:ilvl w:val="0"/>
          <w:numId w:val="0"/>
        </w:numPr>
        <w:spacing w:line="360" w:lineRule="auto"/>
        <w:ind w:firstLine="708"/>
        <w:rPr>
          <w:b w:val="0"/>
          <w:bCs/>
          <w:sz w:val="24"/>
          <w:szCs w:val="20"/>
        </w:rPr>
      </w:pPr>
      <w:r w:rsidRPr="00951F8D">
        <w:rPr>
          <w:b w:val="0"/>
          <w:bCs/>
          <w:sz w:val="24"/>
          <w:szCs w:val="20"/>
        </w:rPr>
        <w:t>Sustavni pristup menadžmentu također naglašava potrebu za uspostavljanjem kontinuiranog sustava praćenja i nadzora nad procesima i aktivnostima organizacije. To uključuje postavljanje ciljeva i standarda kvalitete, nadzor nad procesima, prikupljanje i analizu podataka te uspostavljanje sustava za poboljšanje procesa i korektivnih mjera u slučaju odstupanja</w:t>
      </w:r>
      <w:r w:rsidR="009228DF">
        <w:rPr>
          <w:b w:val="0"/>
          <w:bCs/>
          <w:sz w:val="24"/>
          <w:szCs w:val="20"/>
        </w:rPr>
        <w:t xml:space="preserve"> </w:t>
      </w:r>
      <w:r w:rsidR="009228DF" w:rsidRPr="009228DF">
        <w:rPr>
          <w:b w:val="0"/>
          <w:bCs/>
          <w:sz w:val="24"/>
          <w:szCs w:val="20"/>
        </w:rPr>
        <w:t>[4]</w:t>
      </w:r>
      <w:r w:rsidR="007C3520">
        <w:rPr>
          <w:b w:val="0"/>
          <w:bCs/>
          <w:sz w:val="24"/>
          <w:szCs w:val="20"/>
        </w:rPr>
        <w:t xml:space="preserve"> </w:t>
      </w:r>
      <w:r w:rsidR="007C3520" w:rsidRPr="007C3520">
        <w:rPr>
          <w:b w:val="0"/>
          <w:bCs/>
          <w:sz w:val="24"/>
          <w:szCs w:val="20"/>
        </w:rPr>
        <w:t>[5]</w:t>
      </w:r>
      <w:r w:rsidR="009228DF" w:rsidRPr="009228DF">
        <w:rPr>
          <w:b w:val="0"/>
          <w:bCs/>
          <w:sz w:val="24"/>
          <w:szCs w:val="20"/>
        </w:rPr>
        <w:t>.</w:t>
      </w:r>
    </w:p>
    <w:p w14:paraId="625EB210" w14:textId="77777777" w:rsidR="008B0D35" w:rsidRDefault="008B0D35" w:rsidP="008B0D35">
      <w:pPr>
        <w:pStyle w:val="FOINaslov2"/>
        <w:numPr>
          <w:ilvl w:val="0"/>
          <w:numId w:val="0"/>
        </w:numPr>
        <w:spacing w:line="360" w:lineRule="auto"/>
        <w:ind w:firstLine="708"/>
        <w:rPr>
          <w:b w:val="0"/>
          <w:bCs/>
          <w:sz w:val="24"/>
          <w:szCs w:val="20"/>
        </w:rPr>
      </w:pPr>
      <w:r w:rsidRPr="00951F8D">
        <w:rPr>
          <w:b w:val="0"/>
          <w:bCs/>
          <w:sz w:val="24"/>
          <w:szCs w:val="20"/>
        </w:rPr>
        <w:t xml:space="preserve">Primjena sustavnog pristupa menadžmentu može donijeti brojne koristi organizaciji, uključujući povećanje efikasnosti procesa, smanjenje troškova poslovanja, poboljšanje kvalitete proizvoda i usluga, povećanje zadovoljstva kupaca, zaposlenika i drugih dionika, te uspostavljanje održivog poslovanja. Osim toga, primjena sustavnog pristupa menadžmentu </w:t>
      </w:r>
      <w:r w:rsidRPr="00951F8D">
        <w:rPr>
          <w:b w:val="0"/>
          <w:bCs/>
          <w:sz w:val="24"/>
          <w:szCs w:val="20"/>
        </w:rPr>
        <w:lastRenderedPageBreak/>
        <w:t>može pomoći organizaciji da se prilagodi promjenama u okolini, kao što su tehnološke inovacije, tržišne promjene i regulativni zahtjevi.</w:t>
      </w:r>
    </w:p>
    <w:p w14:paraId="65E20DD7" w14:textId="77777777" w:rsidR="008B0D35" w:rsidRDefault="008B0D35" w:rsidP="008B0D35">
      <w:pPr>
        <w:pStyle w:val="FOINaslov2"/>
      </w:pPr>
      <w:r w:rsidRPr="00F92006">
        <w:t>Vodstvo uprave</w:t>
      </w:r>
    </w:p>
    <w:p w14:paraId="2C39DEE0" w14:textId="77777777" w:rsidR="008B0D35" w:rsidRDefault="008B0D35" w:rsidP="008B0D35">
      <w:pPr>
        <w:pStyle w:val="FOINaslov2"/>
        <w:numPr>
          <w:ilvl w:val="0"/>
          <w:numId w:val="0"/>
        </w:numPr>
        <w:spacing w:line="360" w:lineRule="auto"/>
        <w:ind w:firstLine="708"/>
        <w:rPr>
          <w:b w:val="0"/>
          <w:bCs/>
          <w:sz w:val="24"/>
          <w:szCs w:val="20"/>
        </w:rPr>
      </w:pPr>
      <w:r w:rsidRPr="00F92006">
        <w:rPr>
          <w:b w:val="0"/>
          <w:bCs/>
          <w:sz w:val="24"/>
          <w:szCs w:val="20"/>
        </w:rPr>
        <w:t xml:space="preserve">Vodstvo uprave podrazumijeva da menadžment organizacije preuzima odgovornost za uspješnost poslovanja i stvara kulturu kontinuiranog poboljšanja. To se postiže uspostavljajući jasnu viziju i misiju organizacije, postavljanjem ciljeva i strategija, te pružanjem podrške zaposlenicima u ostvarivanju tih ciljeva. </w:t>
      </w:r>
    </w:p>
    <w:p w14:paraId="4328152F" w14:textId="77777777" w:rsidR="008B0D35" w:rsidRDefault="008B0D35" w:rsidP="008B0D35">
      <w:pPr>
        <w:pStyle w:val="FOINaslov2"/>
        <w:numPr>
          <w:ilvl w:val="0"/>
          <w:numId w:val="0"/>
        </w:numPr>
        <w:spacing w:line="360" w:lineRule="auto"/>
        <w:ind w:left="357" w:hanging="357"/>
        <w:rPr>
          <w:b w:val="0"/>
          <w:bCs/>
          <w:sz w:val="24"/>
          <w:szCs w:val="20"/>
        </w:rPr>
      </w:pPr>
      <w:r w:rsidRPr="00F92006">
        <w:rPr>
          <w:b w:val="0"/>
          <w:bCs/>
          <w:sz w:val="24"/>
          <w:szCs w:val="20"/>
        </w:rPr>
        <w:t>Ključni elementi vodstva uprave u TQM-u uključuju:</w:t>
      </w:r>
    </w:p>
    <w:p w14:paraId="73C195CC" w14:textId="77777777" w:rsidR="008B0D35" w:rsidRPr="00F92006" w:rsidRDefault="008B0D35" w:rsidP="008B0D35">
      <w:pPr>
        <w:pStyle w:val="ListParagraph"/>
        <w:numPr>
          <w:ilvl w:val="0"/>
          <w:numId w:val="17"/>
        </w:numPr>
        <w:spacing w:line="360" w:lineRule="auto"/>
        <w:rPr>
          <w:bCs/>
          <w:szCs w:val="20"/>
        </w:rPr>
      </w:pPr>
      <w:r w:rsidRPr="00F92006">
        <w:rPr>
          <w:bCs/>
          <w:szCs w:val="20"/>
        </w:rPr>
        <w:t>Uspostava vizije i misije organizacije: Menadžment mora jasno definirati svrhu i ciljeve organizacije te ih prenijeti na sve zaposlenike.</w:t>
      </w:r>
    </w:p>
    <w:p w14:paraId="649C9843" w14:textId="77777777" w:rsidR="008B0D35" w:rsidRPr="00F92006" w:rsidRDefault="008B0D35" w:rsidP="008B0D35">
      <w:pPr>
        <w:pStyle w:val="ListParagraph"/>
        <w:numPr>
          <w:ilvl w:val="0"/>
          <w:numId w:val="17"/>
        </w:numPr>
        <w:spacing w:line="360" w:lineRule="auto"/>
        <w:rPr>
          <w:bCs/>
          <w:szCs w:val="20"/>
        </w:rPr>
      </w:pPr>
      <w:r w:rsidRPr="00F92006">
        <w:rPr>
          <w:bCs/>
          <w:szCs w:val="20"/>
        </w:rPr>
        <w:t>Postavljanje ciljeva i strategija: Ciljevi i strategije moraju biti usklađeni s vizijom i misijom organizacije, te moraju biti mjerljivi i ostvarivi.</w:t>
      </w:r>
    </w:p>
    <w:p w14:paraId="668A2492" w14:textId="77777777" w:rsidR="008B0D35" w:rsidRPr="00F92006" w:rsidRDefault="008B0D35" w:rsidP="008B0D35">
      <w:pPr>
        <w:pStyle w:val="ListParagraph"/>
        <w:numPr>
          <w:ilvl w:val="0"/>
          <w:numId w:val="17"/>
        </w:numPr>
        <w:spacing w:line="360" w:lineRule="auto"/>
        <w:rPr>
          <w:bCs/>
          <w:szCs w:val="20"/>
        </w:rPr>
      </w:pPr>
      <w:r w:rsidRPr="00F92006">
        <w:rPr>
          <w:bCs/>
          <w:szCs w:val="20"/>
        </w:rPr>
        <w:t>Uspostava sustava upravljanja kvalitetom: Menadžment mora uspostaviti sustav upravljanja kvalitetom koji će omogućiti praćenje i mjerenje performansi organizacije.</w:t>
      </w:r>
    </w:p>
    <w:p w14:paraId="5CA9D3E6" w14:textId="77777777" w:rsidR="008B0D35" w:rsidRPr="00F92006" w:rsidRDefault="008B0D35" w:rsidP="008B0D35">
      <w:pPr>
        <w:pStyle w:val="ListParagraph"/>
        <w:numPr>
          <w:ilvl w:val="0"/>
          <w:numId w:val="17"/>
        </w:numPr>
        <w:spacing w:line="360" w:lineRule="auto"/>
        <w:rPr>
          <w:bCs/>
          <w:szCs w:val="20"/>
        </w:rPr>
      </w:pPr>
      <w:r w:rsidRPr="00F92006">
        <w:rPr>
          <w:bCs/>
          <w:szCs w:val="20"/>
        </w:rPr>
        <w:t>Podrška zaposlenicima: Menadžment mora pružiti podršku zaposlenicima u razvoju njihovih vještina i znanja, te poticati kreativnost i inovativnost.</w:t>
      </w:r>
    </w:p>
    <w:p w14:paraId="7A32F6BE" w14:textId="77777777" w:rsidR="008B0D35" w:rsidRPr="00F92006" w:rsidRDefault="008B0D35" w:rsidP="008B0D35">
      <w:pPr>
        <w:pStyle w:val="ListParagraph"/>
        <w:numPr>
          <w:ilvl w:val="0"/>
          <w:numId w:val="17"/>
        </w:numPr>
        <w:spacing w:line="360" w:lineRule="auto"/>
        <w:rPr>
          <w:bCs/>
          <w:szCs w:val="20"/>
        </w:rPr>
      </w:pPr>
      <w:r w:rsidRPr="00F92006">
        <w:rPr>
          <w:bCs/>
          <w:szCs w:val="20"/>
        </w:rPr>
        <w:t>Kontinuirano poboljšanje: Menadžment mora preuzeti vodstvo u kontinuiranom poboljšanju procesa u organizaciji, te poticati zaposlenike na sudjelovanje u tom procesu.</w:t>
      </w:r>
    </w:p>
    <w:p w14:paraId="1030CF36" w14:textId="687BC4E7" w:rsidR="008B0D35" w:rsidRDefault="008B0D35" w:rsidP="008B0D35">
      <w:pPr>
        <w:pStyle w:val="FOINaslov2"/>
        <w:numPr>
          <w:ilvl w:val="0"/>
          <w:numId w:val="0"/>
        </w:numPr>
        <w:spacing w:line="360" w:lineRule="auto"/>
        <w:ind w:firstLine="708"/>
        <w:rPr>
          <w:b w:val="0"/>
          <w:bCs/>
          <w:sz w:val="24"/>
          <w:szCs w:val="20"/>
        </w:rPr>
      </w:pPr>
      <w:r w:rsidRPr="00F92006">
        <w:rPr>
          <w:b w:val="0"/>
          <w:bCs/>
          <w:sz w:val="24"/>
          <w:szCs w:val="20"/>
        </w:rPr>
        <w:t>Uvođenje principa vodstva uprave u organizaciju u sklopu TQM-a može doprinijeti povećanju zadovoljstva kupaca, povećanju efikasnosti procesa, te smanjenju troškova</w:t>
      </w:r>
      <w:r w:rsidR="00AB0CC8">
        <w:rPr>
          <w:b w:val="0"/>
          <w:bCs/>
          <w:sz w:val="24"/>
          <w:szCs w:val="20"/>
        </w:rPr>
        <w:t xml:space="preserve"> [4]</w:t>
      </w:r>
      <w:r w:rsidR="007C3520">
        <w:rPr>
          <w:b w:val="0"/>
          <w:bCs/>
          <w:sz w:val="24"/>
          <w:szCs w:val="20"/>
        </w:rPr>
        <w:t xml:space="preserve"> </w:t>
      </w:r>
      <w:r w:rsidR="007C3520" w:rsidRPr="007C3520">
        <w:rPr>
          <w:b w:val="0"/>
          <w:bCs/>
          <w:sz w:val="24"/>
          <w:szCs w:val="20"/>
        </w:rPr>
        <w:t>[5]</w:t>
      </w:r>
      <w:r w:rsidRPr="00F92006">
        <w:rPr>
          <w:b w:val="0"/>
          <w:bCs/>
          <w:sz w:val="24"/>
          <w:szCs w:val="20"/>
        </w:rPr>
        <w:t>.</w:t>
      </w:r>
    </w:p>
    <w:bookmarkEnd w:id="4"/>
    <w:p w14:paraId="7A9FDA18" w14:textId="53BCB1CA" w:rsidR="00AD26F7" w:rsidRDefault="00E7632E" w:rsidP="00C103FB">
      <w:pPr>
        <w:pStyle w:val="FOINaslov1"/>
      </w:pPr>
      <w:r>
        <w:t>Toyota</w:t>
      </w:r>
    </w:p>
    <w:p w14:paraId="039A0FB7" w14:textId="77777777" w:rsidR="00E7632E" w:rsidRPr="00E7632E" w:rsidRDefault="00E7632E" w:rsidP="00E7632E">
      <w:pPr>
        <w:tabs>
          <w:tab w:val="left" w:pos="426"/>
        </w:tabs>
        <w:spacing w:after="240" w:line="360" w:lineRule="auto"/>
        <w:rPr>
          <w:b/>
          <w:bCs/>
        </w:rPr>
      </w:pPr>
      <w:bookmarkStart w:id="7" w:name="_Toc365454901"/>
      <w:r w:rsidRPr="00E7632E">
        <w:t>Toyota je japanska multinacionalna korporacija koja se bavi proizvodnjom automobila, kamiona, autobusa i drugih vozila, te ostalih proizvoda i usluga povezanih s automobilskom industrijom. Sjedište tvrtke je u gradu Toyota u prefekturi Aichi u Japanu.</w:t>
      </w:r>
    </w:p>
    <w:p w14:paraId="4859A4DD" w14:textId="2E2669CD" w:rsidR="00E7632E" w:rsidRPr="00E7632E" w:rsidRDefault="00E7632E" w:rsidP="00E7632E">
      <w:pPr>
        <w:tabs>
          <w:tab w:val="left" w:pos="426"/>
        </w:tabs>
        <w:spacing w:after="240" w:line="360" w:lineRule="auto"/>
        <w:rPr>
          <w:b/>
          <w:bCs/>
        </w:rPr>
      </w:pPr>
      <w:r w:rsidRPr="00E7632E">
        <w:tab/>
      </w:r>
      <w:r w:rsidRPr="00E7632E">
        <w:tab/>
        <w:t>Toyota je osnovana 1937. godine i jedna je od najvećih automobilskih proizvođača na svijetu. Trenutno zapošljava oko 370 tisuća ljudi diljem svijeta, a njezini proizvodi se prodaju u više od 190 zemalja</w:t>
      </w:r>
      <w:r w:rsidR="00E91079">
        <w:t xml:space="preserve"> [</w:t>
      </w:r>
      <w:r w:rsidR="007C3520">
        <w:t>6</w:t>
      </w:r>
      <w:r w:rsidR="00E91079">
        <w:t>]</w:t>
      </w:r>
      <w:r w:rsidRPr="00E7632E">
        <w:t>.</w:t>
      </w:r>
    </w:p>
    <w:p w14:paraId="321693C5" w14:textId="77777777" w:rsidR="00E7632E" w:rsidRPr="00E7632E" w:rsidRDefault="00E7632E" w:rsidP="00E7632E">
      <w:pPr>
        <w:tabs>
          <w:tab w:val="left" w:pos="426"/>
        </w:tabs>
        <w:spacing w:after="240" w:line="360" w:lineRule="auto"/>
        <w:rPr>
          <w:b/>
          <w:bCs/>
        </w:rPr>
      </w:pPr>
      <w:r w:rsidRPr="00E7632E">
        <w:lastRenderedPageBreak/>
        <w:tab/>
        <w:t>Toyota je poznata po svojoj filozofiji kontinuiranog poboljšanja i kulturi sudjelovanja svih zaposlenika u tom procesu. Razvili su sustav upravljanja kvalitetom koji se temelji na principima kontinuiranog poboljšanja (Kaizen), u kojem se potiče sudjelovanje svih zaposlenika u identificiranju i rješavanju problema, kako bi se postigla izvrsnost u svim aspektima poslovanja.</w:t>
      </w:r>
    </w:p>
    <w:p w14:paraId="272FAC1C" w14:textId="5FEA4DDF" w:rsidR="00E7632E" w:rsidRPr="00E7632E" w:rsidRDefault="00E7632E" w:rsidP="00E7632E">
      <w:pPr>
        <w:tabs>
          <w:tab w:val="left" w:pos="426"/>
        </w:tabs>
        <w:spacing w:after="240" w:line="360" w:lineRule="auto"/>
        <w:rPr>
          <w:b/>
          <w:bCs/>
        </w:rPr>
      </w:pPr>
      <w:r w:rsidRPr="00E7632E">
        <w:tab/>
      </w:r>
      <w:r w:rsidRPr="00E7632E">
        <w:tab/>
        <w:t>Također, Toyota je razvila Toyota Production System (TPS) - inovativni način proizvodnje koji se temelji na principima eliminacije gubitaka i upravljanja zaliha. TPS je postao prepoznatljiv pojam u svijetu poslovanja i jedan je od temelja Lean proizvodnje</w:t>
      </w:r>
      <w:r w:rsidR="00D92F6C">
        <w:t xml:space="preserve"> [</w:t>
      </w:r>
      <w:r w:rsidR="007C3520">
        <w:t>7</w:t>
      </w:r>
      <w:r w:rsidR="00D92F6C">
        <w:t>]</w:t>
      </w:r>
      <w:r w:rsidRPr="00E7632E">
        <w:t>.</w:t>
      </w:r>
    </w:p>
    <w:p w14:paraId="6AEA62D8" w14:textId="77777777" w:rsidR="00E7632E" w:rsidRPr="00E7632E" w:rsidRDefault="00E7632E" w:rsidP="00E7632E">
      <w:pPr>
        <w:tabs>
          <w:tab w:val="left" w:pos="426"/>
        </w:tabs>
        <w:spacing w:after="240" w:line="360" w:lineRule="auto"/>
        <w:rPr>
          <w:b/>
          <w:bCs/>
        </w:rPr>
      </w:pPr>
      <w:r w:rsidRPr="00E7632E">
        <w:tab/>
      </w:r>
      <w:r w:rsidRPr="00E7632E">
        <w:tab/>
        <w:t>Uz proizvodnju automobila, Toyota se bavi i drugim djelatnostima kao što su proizvodnja viljuškara, financijske usluge, te razvoj robotike i umjetne inteligencije. Uz to, Toyota je prepoznata po svojoj društvenoj odgovornosti, te aktivno sudjeluje u inicijativama koje imaju za cilj poboljšanje društvenih i ekoloških uvjeta u zajednicama u kojima posluje.</w:t>
      </w:r>
    </w:p>
    <w:p w14:paraId="3CDEECE8" w14:textId="77777777" w:rsidR="00E7632E" w:rsidRPr="00E7632E" w:rsidRDefault="00E7632E" w:rsidP="00E7632E">
      <w:pPr>
        <w:pStyle w:val="FOINaslov2"/>
      </w:pPr>
      <w:r w:rsidRPr="00E7632E">
        <w:t>Kaizen</w:t>
      </w:r>
    </w:p>
    <w:p w14:paraId="4F33649C" w14:textId="77777777" w:rsidR="00E7632E" w:rsidRPr="00E7632E" w:rsidRDefault="00E7632E" w:rsidP="00E7632E">
      <w:pPr>
        <w:spacing w:before="240" w:after="120" w:line="360" w:lineRule="auto"/>
        <w:ind w:firstLine="708"/>
        <w:jc w:val="both"/>
        <w:rPr>
          <w:bCs/>
          <w:szCs w:val="20"/>
        </w:rPr>
      </w:pPr>
      <w:r w:rsidRPr="00E7632E">
        <w:rPr>
          <w:bCs/>
          <w:szCs w:val="20"/>
        </w:rPr>
        <w:t>Kaizen je japanska riječ koja znači "kontinuirano poboljšanje". To je filozofija koja se temelji na postupnom i stalnom poboljšanju procesa, proizvoda i usluga, kako bi se postigla izvrsnost u svim aspektima poslovanja. Kaizen se smatra ključnim dijelom TQM-a (Total Quality Management) i Lean proizvodnje.</w:t>
      </w:r>
    </w:p>
    <w:p w14:paraId="01A796D5" w14:textId="77777777" w:rsidR="00E7632E" w:rsidRPr="00E7632E" w:rsidRDefault="00E7632E" w:rsidP="00E7632E">
      <w:pPr>
        <w:spacing w:before="240" w:after="120" w:line="360" w:lineRule="auto"/>
        <w:ind w:firstLine="708"/>
        <w:jc w:val="both"/>
        <w:rPr>
          <w:bCs/>
          <w:szCs w:val="20"/>
        </w:rPr>
      </w:pPr>
      <w:r w:rsidRPr="00E7632E">
        <w:rPr>
          <w:bCs/>
          <w:szCs w:val="20"/>
        </w:rPr>
        <w:t>Toyota je jedna od organizacija koja je uspješno primijenila filozofiju Kaizen u svojim poslovnim procesima. Toyota je uspostavila kulturu sudjelovanja svih zaposlenika u procesu poboljšanja kvalitete, te se potiče stalno preispitivanje postojećih procesa i pronalaženje načina za njihovo poboljšanje. Svi zaposlenici su angažirani u procesu poboljšanja, a u tu svrhu organiziraju se radionice, sastanci i timovi koji rade na poboljšanju specifičnih procesa ili proizvoda.</w:t>
      </w:r>
    </w:p>
    <w:p w14:paraId="15521AE9" w14:textId="77777777" w:rsidR="00E7632E" w:rsidRPr="00E7632E" w:rsidRDefault="00E7632E" w:rsidP="00E7632E">
      <w:pPr>
        <w:spacing w:before="240" w:after="120" w:line="360" w:lineRule="auto"/>
        <w:ind w:left="357" w:hanging="357"/>
        <w:jc w:val="both"/>
        <w:rPr>
          <w:bCs/>
          <w:szCs w:val="20"/>
        </w:rPr>
      </w:pPr>
      <w:r w:rsidRPr="00E7632E">
        <w:rPr>
          <w:bCs/>
          <w:szCs w:val="20"/>
        </w:rPr>
        <w:t>Filozofija Kaizen temelji se na sljedećim načelima:</w:t>
      </w:r>
    </w:p>
    <w:p w14:paraId="09DF1299" w14:textId="77777777" w:rsidR="00E7632E" w:rsidRPr="00E7632E" w:rsidRDefault="00E7632E" w:rsidP="00E7632E">
      <w:pPr>
        <w:numPr>
          <w:ilvl w:val="0"/>
          <w:numId w:val="18"/>
        </w:numPr>
        <w:spacing w:line="360" w:lineRule="auto"/>
        <w:contextualSpacing/>
        <w:rPr>
          <w:bCs/>
          <w:szCs w:val="20"/>
        </w:rPr>
      </w:pPr>
      <w:r w:rsidRPr="00E7632E">
        <w:rPr>
          <w:bCs/>
          <w:szCs w:val="20"/>
        </w:rPr>
        <w:t>Identificiranje problema - prepoznavanje problema i razumijevanje njegovih uzroka.</w:t>
      </w:r>
    </w:p>
    <w:p w14:paraId="4DD92E2B" w14:textId="77777777" w:rsidR="00E7632E" w:rsidRPr="00E7632E" w:rsidRDefault="00E7632E" w:rsidP="00E7632E">
      <w:pPr>
        <w:numPr>
          <w:ilvl w:val="0"/>
          <w:numId w:val="18"/>
        </w:numPr>
        <w:spacing w:line="360" w:lineRule="auto"/>
        <w:contextualSpacing/>
        <w:rPr>
          <w:bCs/>
          <w:szCs w:val="20"/>
        </w:rPr>
      </w:pPr>
      <w:r w:rsidRPr="00E7632E">
        <w:rPr>
          <w:bCs/>
          <w:szCs w:val="20"/>
        </w:rPr>
        <w:t>Planiranje - definiranje cilja, planiranje aktivnosti i odabir optimalnog rješenja.</w:t>
      </w:r>
    </w:p>
    <w:p w14:paraId="1FCCFAC2" w14:textId="77777777" w:rsidR="00E7632E" w:rsidRPr="00E7632E" w:rsidRDefault="00E7632E" w:rsidP="00E7632E">
      <w:pPr>
        <w:numPr>
          <w:ilvl w:val="0"/>
          <w:numId w:val="18"/>
        </w:numPr>
        <w:spacing w:line="360" w:lineRule="auto"/>
        <w:contextualSpacing/>
        <w:rPr>
          <w:bCs/>
          <w:szCs w:val="20"/>
        </w:rPr>
      </w:pPr>
      <w:r w:rsidRPr="00E7632E">
        <w:rPr>
          <w:bCs/>
          <w:szCs w:val="20"/>
        </w:rPr>
        <w:t>Implementacija - provedba planiranih aktivnosti.</w:t>
      </w:r>
    </w:p>
    <w:p w14:paraId="15BC9914" w14:textId="77777777" w:rsidR="00E7632E" w:rsidRPr="00E7632E" w:rsidRDefault="00E7632E" w:rsidP="00E7632E">
      <w:pPr>
        <w:numPr>
          <w:ilvl w:val="0"/>
          <w:numId w:val="18"/>
        </w:numPr>
        <w:spacing w:line="360" w:lineRule="auto"/>
        <w:contextualSpacing/>
        <w:rPr>
          <w:bCs/>
          <w:szCs w:val="20"/>
        </w:rPr>
      </w:pPr>
      <w:r w:rsidRPr="00E7632E">
        <w:rPr>
          <w:bCs/>
          <w:szCs w:val="20"/>
        </w:rPr>
        <w:t>Provođenje kontrole - praćenje i uspoređivanje postignutih rezultata s ciljevima.</w:t>
      </w:r>
    </w:p>
    <w:p w14:paraId="7F495B5E" w14:textId="77777777" w:rsidR="00E7632E" w:rsidRPr="00E7632E" w:rsidRDefault="00E7632E" w:rsidP="00E7632E">
      <w:pPr>
        <w:numPr>
          <w:ilvl w:val="0"/>
          <w:numId w:val="18"/>
        </w:numPr>
        <w:spacing w:line="360" w:lineRule="auto"/>
        <w:contextualSpacing/>
        <w:rPr>
          <w:bCs/>
          <w:szCs w:val="20"/>
        </w:rPr>
      </w:pPr>
      <w:r w:rsidRPr="00E7632E">
        <w:rPr>
          <w:bCs/>
          <w:szCs w:val="20"/>
        </w:rPr>
        <w:t>Poboljšanje - primjena novih i poboljšanih rješenja.</w:t>
      </w:r>
    </w:p>
    <w:p w14:paraId="3C4333D0" w14:textId="77777777" w:rsidR="00E7632E" w:rsidRPr="00E7632E" w:rsidRDefault="00E7632E" w:rsidP="00E7632E">
      <w:pPr>
        <w:spacing w:line="360" w:lineRule="auto"/>
        <w:rPr>
          <w:bCs/>
          <w:szCs w:val="20"/>
        </w:rPr>
      </w:pPr>
    </w:p>
    <w:p w14:paraId="79278667" w14:textId="185649AD" w:rsidR="00E7632E" w:rsidRPr="00E7632E" w:rsidRDefault="00E7632E" w:rsidP="00E7632E">
      <w:pPr>
        <w:spacing w:line="360" w:lineRule="auto"/>
        <w:ind w:firstLine="708"/>
        <w:rPr>
          <w:bCs/>
          <w:szCs w:val="20"/>
        </w:rPr>
      </w:pPr>
      <w:r w:rsidRPr="00E7632E">
        <w:rPr>
          <w:bCs/>
          <w:szCs w:val="20"/>
        </w:rPr>
        <w:lastRenderedPageBreak/>
        <w:t>Kaizen ima za cilj humanizirati radno okruženje i osnažiti zaposlenike da prepoznaju područja za poboljšanje te predlože praktična rješenja. Kako bi se postigao kontinuirani napredak, provodi se niz aktivnosti, poput tzv. Kaizen blitza, koje su usmjerene na rješavanje problema i eliminiranje gubitaka iz lokalnog okruženja. Filozofija Kaizen počinje već u fazi projektiranja proizvodne linije te se nastavlja tijekom cijelog životnog vijeka linije putem procesa konsenzusa koji se naziva Nemawashi. Ovaj pristup omogućava svakom zaposleniku da sudjeluje u procesu poboljšanja kvalitete i učinkovitosti proizvodnje, što doprinosi uspjehu tvrtke na globalnom tržištu</w:t>
      </w:r>
      <w:r w:rsidR="00D92F6C">
        <w:rPr>
          <w:bCs/>
          <w:szCs w:val="20"/>
        </w:rPr>
        <w:t xml:space="preserve"> [</w:t>
      </w:r>
      <w:r w:rsidR="007C3520">
        <w:rPr>
          <w:bCs/>
          <w:szCs w:val="20"/>
        </w:rPr>
        <w:t>7</w:t>
      </w:r>
      <w:r w:rsidR="00D92F6C">
        <w:rPr>
          <w:bCs/>
          <w:szCs w:val="20"/>
        </w:rPr>
        <w:t>]</w:t>
      </w:r>
      <w:r w:rsidRPr="00E7632E">
        <w:rPr>
          <w:bCs/>
          <w:szCs w:val="20"/>
        </w:rPr>
        <w:t>.</w:t>
      </w:r>
    </w:p>
    <w:p w14:paraId="7C5C276F" w14:textId="77777777" w:rsidR="00E7632E" w:rsidRPr="00E7632E" w:rsidRDefault="00E7632E" w:rsidP="00E7632E">
      <w:pPr>
        <w:pStyle w:val="FOINaslov2"/>
      </w:pPr>
      <w:r w:rsidRPr="00E7632E">
        <w:t>Kanban</w:t>
      </w:r>
    </w:p>
    <w:p w14:paraId="7661BDA4" w14:textId="77777777" w:rsidR="00E7632E" w:rsidRPr="00E7632E" w:rsidRDefault="00E7632E" w:rsidP="00E7632E">
      <w:pPr>
        <w:spacing w:before="240" w:line="360" w:lineRule="auto"/>
        <w:ind w:firstLine="708"/>
        <w:rPr>
          <w:bCs/>
          <w:szCs w:val="20"/>
        </w:rPr>
      </w:pPr>
      <w:r w:rsidRPr="00E7632E">
        <w:rPr>
          <w:bCs/>
          <w:szCs w:val="20"/>
        </w:rPr>
        <w:t>Kanban je metodologija upravljanja proizvodnjom koja se prvi put pojavila u Toyoti u Japanu, a kasnije se proširila na mnoge druge organizacije širom svijeta. Ova metodologija koristi vizualnu kontrolu i upravljanje protokom materijala kako bi se osigurala učinkovitost proizvodnog procesa.</w:t>
      </w:r>
    </w:p>
    <w:p w14:paraId="1EB52136" w14:textId="77777777" w:rsidR="00E7632E" w:rsidRPr="00E7632E" w:rsidRDefault="00E7632E" w:rsidP="00E7632E">
      <w:pPr>
        <w:spacing w:before="240" w:line="360" w:lineRule="auto"/>
        <w:ind w:firstLine="708"/>
        <w:rPr>
          <w:bCs/>
          <w:szCs w:val="20"/>
        </w:rPr>
      </w:pPr>
      <w:r w:rsidRPr="00E7632E">
        <w:rPr>
          <w:bCs/>
          <w:szCs w:val="20"/>
        </w:rPr>
        <w:t>Kanban u Toyoti se temelji na korištenju kartica, koje se nazivaju kanban kartice, kako bi se kontrolirao protok materijala kroz proizvodni proces. Svaki put kada se završi proizvodnja jednog dijela, na njemu se postavlja kanban kartica, koja sadrži informacije o količini i vrsti materijala potrebnih za proizvodnju sljedećeg dijela.</w:t>
      </w:r>
    </w:p>
    <w:p w14:paraId="25C7C5FF" w14:textId="77777777" w:rsidR="00E7632E" w:rsidRPr="00E7632E" w:rsidRDefault="00E7632E" w:rsidP="00E7632E">
      <w:pPr>
        <w:spacing w:before="240" w:line="360" w:lineRule="auto"/>
        <w:ind w:firstLine="708"/>
        <w:rPr>
          <w:bCs/>
          <w:szCs w:val="20"/>
        </w:rPr>
      </w:pPr>
      <w:r w:rsidRPr="00E7632E">
        <w:rPr>
          <w:bCs/>
          <w:szCs w:val="20"/>
        </w:rPr>
        <w:t>Ove kartice se zatim šalju u sekciju u kojoj se priprema materijal za proizvodnju, kako bi se osiguralo da je dovoljno materijala uvijek dostupno za proizvodnju sljedećeg dijela. Na taj način se izbjegava pretjerano zalihe i trošenje resursa na nepotrebne zalihe materijala.</w:t>
      </w:r>
    </w:p>
    <w:p w14:paraId="7C039602" w14:textId="77777777" w:rsidR="00E7632E" w:rsidRPr="00E7632E" w:rsidRDefault="00E7632E" w:rsidP="00E7632E">
      <w:pPr>
        <w:spacing w:before="240" w:line="360" w:lineRule="auto"/>
        <w:ind w:firstLine="708"/>
        <w:rPr>
          <w:bCs/>
          <w:szCs w:val="20"/>
        </w:rPr>
      </w:pPr>
      <w:r w:rsidRPr="00E7632E">
        <w:rPr>
          <w:bCs/>
          <w:szCs w:val="20"/>
        </w:rPr>
        <w:t>Osim toga, kanban kartice se koriste za kontrolu količine proizvoda koji se proizvode u svakoj fazi proizvodnog procesa. To omogućuje tvrtki da brzo prepozna problem u proizvodnom procesu, kao što su kašnjenja u isporuci materijala ili preopterećenje radnika, i poduzme odgovarajuće korake kako bi se riješio problem.</w:t>
      </w:r>
    </w:p>
    <w:p w14:paraId="309ECAC8" w14:textId="7DCD0D0F" w:rsidR="00E7632E" w:rsidRPr="00E7632E" w:rsidRDefault="00E7632E" w:rsidP="00E7632E">
      <w:pPr>
        <w:spacing w:before="240" w:line="360" w:lineRule="auto"/>
        <w:ind w:firstLine="708"/>
        <w:rPr>
          <w:bCs/>
          <w:szCs w:val="20"/>
        </w:rPr>
      </w:pPr>
      <w:r w:rsidRPr="00E7632E">
        <w:rPr>
          <w:bCs/>
          <w:szCs w:val="20"/>
        </w:rPr>
        <w:t>U Toyoti, kanban se koristi i izvan proizvodnje, kao što su upravljanje zalihama i logistika, kako bi se osiguralo da se resursi koriste na najefikasniji način. Kao takav, Kanban je postao središnja strategija upravljanja Toyotom, koja je pomogla tvrtki da postigne značajne uspjehe u industriji automobila i postane jedna od najuspješnijih tvrtki u svijetu</w:t>
      </w:r>
      <w:r w:rsidR="008C2469">
        <w:rPr>
          <w:bCs/>
          <w:szCs w:val="20"/>
        </w:rPr>
        <w:t xml:space="preserve"> [</w:t>
      </w:r>
      <w:r w:rsidR="007C3520">
        <w:rPr>
          <w:bCs/>
          <w:szCs w:val="20"/>
        </w:rPr>
        <w:t>8</w:t>
      </w:r>
      <w:r w:rsidR="008C2469">
        <w:rPr>
          <w:bCs/>
          <w:szCs w:val="20"/>
        </w:rPr>
        <w:t>]</w:t>
      </w:r>
      <w:r w:rsidRPr="00E7632E">
        <w:rPr>
          <w:bCs/>
          <w:szCs w:val="20"/>
        </w:rPr>
        <w:t>.</w:t>
      </w:r>
    </w:p>
    <w:p w14:paraId="56D61E77" w14:textId="77777777" w:rsidR="00E7632E" w:rsidRPr="00E7632E" w:rsidRDefault="00E7632E" w:rsidP="00E7632E">
      <w:pPr>
        <w:pStyle w:val="FOINaslov2"/>
      </w:pPr>
      <w:r w:rsidRPr="00E7632E">
        <w:t>Jidoka</w:t>
      </w:r>
    </w:p>
    <w:p w14:paraId="6F5BA3D4" w14:textId="77777777" w:rsidR="00E7632E" w:rsidRPr="00E7632E" w:rsidRDefault="00E7632E" w:rsidP="00E7632E">
      <w:pPr>
        <w:tabs>
          <w:tab w:val="left" w:pos="426"/>
        </w:tabs>
        <w:spacing w:after="240" w:line="360" w:lineRule="auto"/>
      </w:pPr>
      <w:r w:rsidRPr="00E7632E">
        <w:lastRenderedPageBreak/>
        <w:tab/>
      </w:r>
      <w:r w:rsidRPr="00E7632E">
        <w:tab/>
        <w:t xml:space="preserve">Jidoka je japanska riječ koja se često prevodi kao "autonomni stroj" ili "samostalni stroj". U Toyoti, Jidoka predstavlja jednu od temeljnih filozofija proizvodnje i jedan od ključnih elemenata Toyotine proizvodne filozofije poznate kao Toyota Production System (TPS). </w:t>
      </w:r>
    </w:p>
    <w:p w14:paraId="29A8EBBC" w14:textId="77777777" w:rsidR="00E7632E" w:rsidRPr="00E7632E" w:rsidRDefault="00E7632E" w:rsidP="00E7632E">
      <w:pPr>
        <w:tabs>
          <w:tab w:val="left" w:pos="426"/>
        </w:tabs>
        <w:spacing w:after="240" w:line="360" w:lineRule="auto"/>
      </w:pPr>
      <w:r w:rsidRPr="00E7632E">
        <w:tab/>
      </w:r>
      <w:r w:rsidRPr="00E7632E">
        <w:tab/>
        <w:t>Jidoka se odnosi na autonomiju strojeva, što znači da strojevi mogu prepoznati nepravilnosti u proizvodnji i samostalno se zaustaviti kako bi se problem mogao riješiti. Ova filozofija omogućava proizvodnju visokokvalitetnih proizvoda i smanjuje rizik od pogrešaka i neispravnih dijelova.</w:t>
      </w:r>
    </w:p>
    <w:p w14:paraId="50685E8B" w14:textId="77777777" w:rsidR="00E7632E" w:rsidRPr="00E7632E" w:rsidRDefault="00E7632E" w:rsidP="00E7632E">
      <w:pPr>
        <w:tabs>
          <w:tab w:val="left" w:pos="426"/>
        </w:tabs>
        <w:spacing w:after="240" w:line="360" w:lineRule="auto"/>
      </w:pPr>
      <w:r w:rsidRPr="00E7632E">
        <w:t>Jidoka u Toyoti ima dvije glavne funkcije:</w:t>
      </w:r>
    </w:p>
    <w:p w14:paraId="4EFFCCC4" w14:textId="77777777" w:rsidR="00E7632E" w:rsidRPr="00E7632E" w:rsidRDefault="00E7632E" w:rsidP="00E7632E">
      <w:pPr>
        <w:numPr>
          <w:ilvl w:val="0"/>
          <w:numId w:val="19"/>
        </w:numPr>
        <w:spacing w:line="360" w:lineRule="auto"/>
        <w:contextualSpacing/>
      </w:pPr>
      <w:r w:rsidRPr="00E7632E">
        <w:t>Detekcija pogrešaka - Jidoka sustav koristi senzore i druge uređaje kako bi automatski detektirao pogreške u proizvodnji. Na primjer, ako stroj otkrije problem sa sirovinom ili obradom, on će se zaustaviti i obavijestiti radnika o problemu.</w:t>
      </w:r>
    </w:p>
    <w:p w14:paraId="465F65FA" w14:textId="77777777" w:rsidR="00E7632E" w:rsidRPr="00E7632E" w:rsidRDefault="00E7632E" w:rsidP="00E7632E">
      <w:pPr>
        <w:numPr>
          <w:ilvl w:val="0"/>
          <w:numId w:val="19"/>
        </w:numPr>
        <w:spacing w:line="360" w:lineRule="auto"/>
        <w:contextualSpacing/>
      </w:pPr>
      <w:r w:rsidRPr="00E7632E">
        <w:t>Zaustavljanje proizvodnje - Jidoka strojevi imaju mogućnost zaustavljanja proizvodnje kako bi se problem mogao riješiti. Ovo smanjuje rizik od daljnjeg proizvodnje pogrešnih dijelova, te omogućava radnicima da rade na rješavanju problema.</w:t>
      </w:r>
    </w:p>
    <w:p w14:paraId="54D7FB70" w14:textId="77777777" w:rsidR="00E7632E" w:rsidRPr="00E7632E" w:rsidRDefault="00E7632E" w:rsidP="00E7632E">
      <w:pPr>
        <w:ind w:left="720"/>
        <w:contextualSpacing/>
      </w:pPr>
    </w:p>
    <w:p w14:paraId="7CD5ECCC" w14:textId="0C744982" w:rsidR="00E7632E" w:rsidRPr="00E7632E" w:rsidRDefault="00E7632E" w:rsidP="00E7632E">
      <w:pPr>
        <w:tabs>
          <w:tab w:val="left" w:pos="426"/>
        </w:tabs>
        <w:spacing w:after="240" w:line="360" w:lineRule="auto"/>
      </w:pPr>
      <w:r w:rsidRPr="00E7632E">
        <w:tab/>
      </w:r>
      <w:r w:rsidRPr="00E7632E">
        <w:tab/>
        <w:t>Jidoka također potiče timski rad i kontinuirano poboljšanje u proizvodnji. Radnici su educirani da prepoznaju nepravilnosti u proizvodnji, a Jidoka sustav omogućava radnicima da rade zajedno kako bi riješili probleme i poboljšali proizvodni proces</w:t>
      </w:r>
      <w:r w:rsidR="00991DCB">
        <w:t xml:space="preserve"> [</w:t>
      </w:r>
      <w:r w:rsidR="007C3520">
        <w:t>9</w:t>
      </w:r>
      <w:r w:rsidR="00991DCB">
        <w:t>]</w:t>
      </w:r>
      <w:r w:rsidRPr="00E7632E">
        <w:t>.</w:t>
      </w:r>
    </w:p>
    <w:p w14:paraId="35EA4AA4" w14:textId="77777777" w:rsidR="00E7632E" w:rsidRPr="00E7632E" w:rsidRDefault="00E7632E" w:rsidP="00E7632E">
      <w:pPr>
        <w:pStyle w:val="FOINaslov2"/>
      </w:pPr>
      <w:r w:rsidRPr="00E7632E">
        <w:t>Poka-yoke</w:t>
      </w:r>
    </w:p>
    <w:p w14:paraId="783E4B38" w14:textId="77777777" w:rsidR="00E7632E" w:rsidRPr="00E7632E" w:rsidRDefault="00E7632E" w:rsidP="00E7632E">
      <w:pPr>
        <w:spacing w:before="240" w:after="120" w:line="360" w:lineRule="auto"/>
        <w:ind w:firstLine="708"/>
        <w:jc w:val="both"/>
        <w:rPr>
          <w:bCs/>
          <w:szCs w:val="20"/>
        </w:rPr>
      </w:pPr>
      <w:r w:rsidRPr="00E7632E">
        <w:rPr>
          <w:bCs/>
          <w:szCs w:val="20"/>
        </w:rPr>
        <w:t>Riječ "poka-yoke" potječe iz japanskog jezika i znači "sprječavanje pogrešaka" ili "izbjegavanje gluposti". Ova filozofija se odnosi na postavljanje sustava i uređaja koji sprječavaju pogreške u proizvodnom procesu i omogućuju visoku kvalitetu proizvoda.</w:t>
      </w:r>
    </w:p>
    <w:p w14:paraId="08D894CA" w14:textId="77777777" w:rsidR="00E7632E" w:rsidRPr="00E7632E" w:rsidRDefault="00E7632E" w:rsidP="00E7632E">
      <w:pPr>
        <w:spacing w:before="240" w:after="120" w:line="360" w:lineRule="auto"/>
        <w:jc w:val="both"/>
        <w:rPr>
          <w:bCs/>
          <w:szCs w:val="20"/>
        </w:rPr>
      </w:pPr>
      <w:r w:rsidRPr="00E7632E">
        <w:rPr>
          <w:bCs/>
          <w:szCs w:val="20"/>
        </w:rPr>
        <w:t>U Toyoti se Poka-yoke primjenjuje na različite načine kako bi se osigurala kvaliteta proizvoda. Neke od primjena Poka-yoke u Toyoti uključuju:</w:t>
      </w:r>
    </w:p>
    <w:p w14:paraId="77D0BD28" w14:textId="77777777" w:rsidR="00E7632E" w:rsidRPr="00E7632E" w:rsidRDefault="00E7632E" w:rsidP="00E7632E">
      <w:pPr>
        <w:numPr>
          <w:ilvl w:val="0"/>
          <w:numId w:val="20"/>
        </w:numPr>
        <w:spacing w:line="360" w:lineRule="auto"/>
        <w:contextualSpacing/>
        <w:rPr>
          <w:bCs/>
          <w:szCs w:val="20"/>
        </w:rPr>
      </w:pPr>
      <w:r w:rsidRPr="00E7632E">
        <w:rPr>
          <w:bCs/>
          <w:szCs w:val="20"/>
        </w:rPr>
        <w:t>Dizajn proizvoda - Kada Toyota dizajnira nove proizvode, oni koriste Poka-yoke pristup kako bi se smanjio rizik od pogrešaka u proizvodnji. Na primjer, proizvodi se mogu dizajnirati tako da se ne mogu montirati na pogrešan način, ili se mogu koristiti posebni oblici dijelova koji se ne mogu montirati pogrešno.</w:t>
      </w:r>
    </w:p>
    <w:p w14:paraId="1DF59514" w14:textId="77777777" w:rsidR="00E7632E" w:rsidRPr="00E7632E" w:rsidRDefault="00E7632E" w:rsidP="00E7632E">
      <w:pPr>
        <w:numPr>
          <w:ilvl w:val="0"/>
          <w:numId w:val="20"/>
        </w:numPr>
        <w:spacing w:line="360" w:lineRule="auto"/>
        <w:contextualSpacing/>
        <w:rPr>
          <w:bCs/>
          <w:szCs w:val="20"/>
        </w:rPr>
      </w:pPr>
      <w:r w:rsidRPr="00E7632E">
        <w:rPr>
          <w:bCs/>
          <w:szCs w:val="20"/>
        </w:rPr>
        <w:lastRenderedPageBreak/>
        <w:t>Kontrola kvalitete - Poka-yoke se koristi u procesima kontrole kvalitete u Toyoti. Na primjer, u proizvodnji automobila, senzori se koriste za otkrivanje pogrešaka u proizvodnom procesu, a automatski se zaustavljaju kada se otkrije pogreška.</w:t>
      </w:r>
    </w:p>
    <w:p w14:paraId="7164E951" w14:textId="77777777" w:rsidR="00E7632E" w:rsidRPr="00E7632E" w:rsidRDefault="00E7632E" w:rsidP="00E7632E">
      <w:pPr>
        <w:numPr>
          <w:ilvl w:val="0"/>
          <w:numId w:val="20"/>
        </w:numPr>
        <w:spacing w:line="360" w:lineRule="auto"/>
        <w:contextualSpacing/>
        <w:rPr>
          <w:bCs/>
          <w:szCs w:val="20"/>
        </w:rPr>
      </w:pPr>
      <w:r w:rsidRPr="00E7632E">
        <w:rPr>
          <w:bCs/>
          <w:szCs w:val="20"/>
        </w:rPr>
        <w:t>Sprečavanje pogrešaka u skladištenju - Poka-yoke se također koristi u skladištenju i logistici kako bi se spriječile pogreške u procesu. Na primjer, na određenim mjestima u skladištu mogu se postaviti senzori koji će se aktivirati ako je postavljena pogrešna roba.</w:t>
      </w:r>
    </w:p>
    <w:p w14:paraId="4757CC73" w14:textId="77777777" w:rsidR="00E7632E" w:rsidRPr="00E7632E" w:rsidRDefault="00E7632E" w:rsidP="00E7632E">
      <w:pPr>
        <w:numPr>
          <w:ilvl w:val="0"/>
          <w:numId w:val="20"/>
        </w:numPr>
        <w:spacing w:line="360" w:lineRule="auto"/>
        <w:contextualSpacing/>
        <w:rPr>
          <w:bCs/>
          <w:szCs w:val="20"/>
        </w:rPr>
      </w:pPr>
      <w:r w:rsidRPr="00E7632E">
        <w:rPr>
          <w:bCs/>
          <w:szCs w:val="20"/>
        </w:rPr>
        <w:t>Obuka radnika - U Toyoti, radnici su educirani o Poka-yoke filozofiji i o tome kako je primijeniti u praksi. Radnici se obučavaju kako prepoznati pogreške i kako ih ispraviti prije nego što dođe do problema.</w:t>
      </w:r>
    </w:p>
    <w:p w14:paraId="0E4B33B8" w14:textId="7AE695AB" w:rsidR="00E7632E" w:rsidRPr="00E7632E" w:rsidRDefault="00E7632E" w:rsidP="00E7632E">
      <w:pPr>
        <w:spacing w:before="240" w:after="120" w:line="360" w:lineRule="auto"/>
        <w:ind w:firstLine="708"/>
        <w:jc w:val="both"/>
        <w:rPr>
          <w:bCs/>
          <w:szCs w:val="20"/>
        </w:rPr>
      </w:pPr>
      <w:r w:rsidRPr="00E7632E">
        <w:rPr>
          <w:bCs/>
          <w:szCs w:val="20"/>
        </w:rPr>
        <w:t>Poka-yoke je ključna filozofija TQM-a koju Toyota koristi kako bi osigurala visoku kvalitetu proizvoda i smanjila rizik od pogrešaka u proizvodnom procesu. Filozofija Poka-yoke naglašava važnost sprečavanja pogrešaka prije nego što se dogode, a time se postiže kontinuirano poboljšanje kvalitete proizvoda i procesa</w:t>
      </w:r>
      <w:r w:rsidR="00991DCB">
        <w:rPr>
          <w:bCs/>
          <w:szCs w:val="20"/>
        </w:rPr>
        <w:t xml:space="preserve"> [</w:t>
      </w:r>
      <w:r w:rsidR="007C3520">
        <w:rPr>
          <w:bCs/>
          <w:szCs w:val="20"/>
        </w:rPr>
        <w:t>10</w:t>
      </w:r>
      <w:r w:rsidR="00991DCB">
        <w:rPr>
          <w:bCs/>
          <w:szCs w:val="20"/>
        </w:rPr>
        <w:t>]</w:t>
      </w:r>
      <w:r w:rsidRPr="00E7632E">
        <w:rPr>
          <w:bCs/>
          <w:szCs w:val="20"/>
        </w:rPr>
        <w:t xml:space="preserve">. </w:t>
      </w:r>
    </w:p>
    <w:p w14:paraId="760BC872" w14:textId="77777777" w:rsidR="00E7632E" w:rsidRPr="00E7632E" w:rsidRDefault="00E7632E" w:rsidP="00E7632E">
      <w:pPr>
        <w:tabs>
          <w:tab w:val="left" w:pos="426"/>
        </w:tabs>
        <w:spacing w:after="240" w:line="360" w:lineRule="auto"/>
      </w:pPr>
      <w:r w:rsidRPr="00E7632E">
        <w:tab/>
      </w:r>
      <w:r w:rsidRPr="00E7632E">
        <w:tab/>
      </w:r>
    </w:p>
    <w:p w14:paraId="70765F2A" w14:textId="5CD8B2DE" w:rsidR="000C5160" w:rsidRDefault="006427BF" w:rsidP="00C103FB">
      <w:pPr>
        <w:pStyle w:val="FOINaslov1"/>
      </w:pPr>
      <w:r>
        <w:t>Literatura</w:t>
      </w:r>
      <w:bookmarkEnd w:id="7"/>
    </w:p>
    <w:p w14:paraId="55CCE6E2" w14:textId="388B516F" w:rsidR="00AC1A87" w:rsidRPr="009911BD" w:rsidRDefault="00AC1A87" w:rsidP="00382C15">
      <w:pPr>
        <w:pStyle w:val="ListParagraph"/>
        <w:numPr>
          <w:ilvl w:val="0"/>
          <w:numId w:val="6"/>
        </w:numPr>
        <w:spacing w:before="120" w:after="120"/>
        <w:ind w:left="425" w:hanging="425"/>
        <w:contextualSpacing w:val="0"/>
        <w:jc w:val="both"/>
        <w:rPr>
          <w:rFonts w:cstheme="minorHAnsi"/>
          <w:shd w:val="clear" w:color="auto" w:fill="FFFFFF"/>
        </w:rPr>
      </w:pPr>
      <w:r w:rsidRPr="00AC1A87">
        <w:rPr>
          <w:rFonts w:cstheme="minorHAnsi"/>
          <w:shd w:val="clear" w:color="auto" w:fill="FFFFFF"/>
        </w:rPr>
        <w:t xml:space="preserve">American Society for Quality. "Walter A. Shewhart." [Online]. </w:t>
      </w:r>
      <w:r>
        <w:rPr>
          <w:rFonts w:cstheme="minorHAnsi"/>
          <w:shd w:val="clear" w:color="auto" w:fill="FFFFFF"/>
        </w:rPr>
        <w:t>Dostupno</w:t>
      </w:r>
      <w:r w:rsidRPr="00AC1A87">
        <w:rPr>
          <w:rFonts w:cstheme="minorHAnsi"/>
          <w:shd w:val="clear" w:color="auto" w:fill="FFFFFF"/>
        </w:rPr>
        <w:t xml:space="preserve">: </w:t>
      </w:r>
      <w:hyperlink r:id="rId10" w:history="1">
        <w:r w:rsidRPr="00EA6674">
          <w:rPr>
            <w:rStyle w:val="Hyperlink"/>
            <w:rFonts w:cstheme="minorHAnsi"/>
            <w:shd w:val="clear" w:color="auto" w:fill="FFFFFF"/>
          </w:rPr>
          <w:t>https://asq.org/about-asq/honorary-members/shewhart</w:t>
        </w:r>
      </w:hyperlink>
      <w:r w:rsidRPr="00AC1A87">
        <w:rPr>
          <w:rFonts w:cstheme="minorHAnsi"/>
          <w:shd w:val="clear" w:color="auto" w:fill="FFFFFF"/>
        </w:rPr>
        <w:t>.</w:t>
      </w:r>
      <w:r>
        <w:rPr>
          <w:rFonts w:cstheme="minorHAnsi"/>
          <w:shd w:val="clear" w:color="auto" w:fill="FFFFFF"/>
        </w:rPr>
        <w:t xml:space="preserve"> </w:t>
      </w:r>
      <w:r>
        <w:t xml:space="preserve">[pristupano </w:t>
      </w:r>
      <w:r w:rsidR="00B95AE6">
        <w:t>0</w:t>
      </w:r>
      <w:r>
        <w:t>6.05.2023.</w:t>
      </w:r>
      <w:r w:rsidR="009911BD">
        <w:t>]</w:t>
      </w:r>
    </w:p>
    <w:p w14:paraId="617F4F85" w14:textId="6D61116F" w:rsidR="009911BD" w:rsidRPr="000D763D" w:rsidRDefault="009911BD" w:rsidP="00382C15">
      <w:pPr>
        <w:pStyle w:val="ListParagraph"/>
        <w:numPr>
          <w:ilvl w:val="0"/>
          <w:numId w:val="6"/>
        </w:numPr>
        <w:spacing w:before="120" w:after="120"/>
        <w:ind w:left="425" w:hanging="425"/>
        <w:contextualSpacing w:val="0"/>
        <w:jc w:val="both"/>
        <w:rPr>
          <w:rFonts w:cstheme="minorHAnsi"/>
          <w:shd w:val="clear" w:color="auto" w:fill="FFFFFF"/>
        </w:rPr>
      </w:pPr>
      <w:r w:rsidRPr="009911BD">
        <w:rPr>
          <w:rFonts w:cstheme="minorHAnsi"/>
          <w:shd w:val="clear" w:color="auto" w:fill="FFFFFF"/>
        </w:rPr>
        <w:t xml:space="preserve">M. Drljača, "Modeli upravljanja potpunom kvalitetom u funkciji povećanja poslovne izvrsnosti," Doctoral thesis / Disertacija, 2010. [Online]. </w:t>
      </w:r>
      <w:r>
        <w:rPr>
          <w:rFonts w:cstheme="minorHAnsi"/>
          <w:shd w:val="clear" w:color="auto" w:fill="FFFFFF"/>
        </w:rPr>
        <w:t>Dostupno</w:t>
      </w:r>
      <w:r w:rsidRPr="009911BD">
        <w:rPr>
          <w:rFonts w:cstheme="minorHAnsi"/>
          <w:shd w:val="clear" w:color="auto" w:fill="FFFFFF"/>
        </w:rPr>
        <w:t xml:space="preserve">: </w:t>
      </w:r>
      <w:hyperlink r:id="rId11" w:history="1">
        <w:r w:rsidRPr="00EA6674">
          <w:rPr>
            <w:rStyle w:val="Hyperlink"/>
            <w:rFonts w:cstheme="minorHAnsi"/>
            <w:shd w:val="clear" w:color="auto" w:fill="FFFFFF"/>
          </w:rPr>
          <w:t>https://www.unirepository.svkri.uniri.hr/islandora/object/svkri:3346/preview</w:t>
        </w:r>
      </w:hyperlink>
      <w:r w:rsidRPr="009911BD">
        <w:rPr>
          <w:rFonts w:cstheme="minorHAnsi"/>
          <w:shd w:val="clear" w:color="auto" w:fill="FFFFFF"/>
        </w:rPr>
        <w:t>.</w:t>
      </w:r>
      <w:r>
        <w:rPr>
          <w:rFonts w:cstheme="minorHAnsi"/>
          <w:shd w:val="clear" w:color="auto" w:fill="FFFFFF"/>
        </w:rPr>
        <w:t xml:space="preserve"> </w:t>
      </w:r>
      <w:r>
        <w:t>[pristupano 06.05.2023.]</w:t>
      </w:r>
    </w:p>
    <w:p w14:paraId="7737FA93" w14:textId="7CC186EB" w:rsidR="000D763D" w:rsidRPr="000D763D" w:rsidRDefault="000D763D" w:rsidP="000D763D">
      <w:pPr>
        <w:pStyle w:val="ListParagraph"/>
        <w:numPr>
          <w:ilvl w:val="0"/>
          <w:numId w:val="6"/>
        </w:numPr>
        <w:spacing w:before="120" w:after="120"/>
        <w:ind w:left="425" w:hanging="425"/>
        <w:contextualSpacing w:val="0"/>
        <w:jc w:val="both"/>
        <w:rPr>
          <w:rFonts w:cstheme="minorHAnsi"/>
          <w:shd w:val="clear" w:color="auto" w:fill="FFFFFF"/>
        </w:rPr>
      </w:pPr>
      <w:r w:rsidRPr="000D763D">
        <w:rPr>
          <w:rFonts w:cstheme="minorHAnsi"/>
          <w:shd w:val="clear" w:color="auto" w:fill="FFFFFF"/>
        </w:rPr>
        <w:t xml:space="preserve">The Deming Institute. [Online]. </w:t>
      </w:r>
      <w:r>
        <w:rPr>
          <w:rFonts w:cstheme="minorHAnsi"/>
          <w:shd w:val="clear" w:color="auto" w:fill="FFFFFF"/>
        </w:rPr>
        <w:t>Dostupno</w:t>
      </w:r>
      <w:r w:rsidRPr="000D763D">
        <w:rPr>
          <w:rFonts w:cstheme="minorHAnsi"/>
          <w:shd w:val="clear" w:color="auto" w:fill="FFFFFF"/>
        </w:rPr>
        <w:t xml:space="preserve">: </w:t>
      </w:r>
      <w:hyperlink r:id="rId12" w:history="1">
        <w:r w:rsidRPr="00EA6674">
          <w:rPr>
            <w:rStyle w:val="Hyperlink"/>
            <w:rFonts w:cstheme="minorHAnsi"/>
            <w:shd w:val="clear" w:color="auto" w:fill="FFFFFF"/>
          </w:rPr>
          <w:t>https://deming.org</w:t>
        </w:r>
      </w:hyperlink>
      <w:r w:rsidRPr="000D763D">
        <w:rPr>
          <w:rFonts w:cstheme="minorHAnsi"/>
          <w:shd w:val="clear" w:color="auto" w:fill="FFFFFF"/>
        </w:rPr>
        <w:t>.</w:t>
      </w:r>
      <w:r>
        <w:rPr>
          <w:rFonts w:cstheme="minorHAnsi"/>
          <w:shd w:val="clear" w:color="auto" w:fill="FFFFFF"/>
        </w:rPr>
        <w:t xml:space="preserve"> </w:t>
      </w:r>
      <w:r>
        <w:t>[pristupano 06.05.2023.]</w:t>
      </w:r>
    </w:p>
    <w:p w14:paraId="2C822961" w14:textId="550A9642" w:rsidR="00AC1A87" w:rsidRPr="007C3520" w:rsidRDefault="00AC1A87" w:rsidP="00382C15">
      <w:pPr>
        <w:pStyle w:val="ListParagraph"/>
        <w:numPr>
          <w:ilvl w:val="0"/>
          <w:numId w:val="6"/>
        </w:numPr>
        <w:spacing w:before="120" w:after="120"/>
        <w:ind w:left="425" w:hanging="425"/>
        <w:contextualSpacing w:val="0"/>
        <w:jc w:val="both"/>
        <w:rPr>
          <w:rFonts w:cstheme="minorHAnsi"/>
          <w:shd w:val="clear" w:color="auto" w:fill="FFFFFF"/>
        </w:rPr>
      </w:pPr>
      <w:r w:rsidRPr="00AC1A87">
        <w:rPr>
          <w:rFonts w:cstheme="minorHAnsi"/>
          <w:shd w:val="clear" w:color="auto" w:fill="FFFFFF"/>
        </w:rPr>
        <w:t xml:space="preserve">Majstorović, V. "Principi TQM-a" [Online]. </w:t>
      </w:r>
      <w:r>
        <w:rPr>
          <w:rFonts w:cstheme="minorHAnsi"/>
          <w:shd w:val="clear" w:color="auto" w:fill="FFFFFF"/>
        </w:rPr>
        <w:t>Dostupno</w:t>
      </w:r>
      <w:r w:rsidRPr="00AC1A87">
        <w:rPr>
          <w:rFonts w:cstheme="minorHAnsi"/>
          <w:shd w:val="clear" w:color="auto" w:fill="FFFFFF"/>
        </w:rPr>
        <w:t xml:space="preserve">: </w:t>
      </w:r>
      <w:hyperlink r:id="rId13" w:history="1">
        <w:r w:rsidRPr="00EA6674">
          <w:rPr>
            <w:rStyle w:val="Hyperlink"/>
            <w:rFonts w:cstheme="minorHAnsi"/>
            <w:shd w:val="clear" w:color="auto" w:fill="FFFFFF"/>
          </w:rPr>
          <w:t>https://www.svijet-kvalitete.com/index.php/upravljanje-kvalitetom/1535-principi-tqm-a</w:t>
        </w:r>
      </w:hyperlink>
      <w:r w:rsidRPr="00AC1A87">
        <w:rPr>
          <w:rFonts w:cstheme="minorHAnsi"/>
          <w:shd w:val="clear" w:color="auto" w:fill="FFFFFF"/>
        </w:rPr>
        <w:t>.</w:t>
      </w:r>
      <w:r>
        <w:t xml:space="preserve">[pristupano </w:t>
      </w:r>
      <w:r w:rsidR="00B95AE6">
        <w:t>0</w:t>
      </w:r>
      <w:r>
        <w:t>6.05.2023.].</w:t>
      </w:r>
    </w:p>
    <w:p w14:paraId="3A4FDC33" w14:textId="309138BA" w:rsidR="007C3520" w:rsidRPr="007C3520" w:rsidRDefault="007C3520" w:rsidP="007C3520">
      <w:pPr>
        <w:pStyle w:val="ListParagraph"/>
        <w:numPr>
          <w:ilvl w:val="0"/>
          <w:numId w:val="6"/>
        </w:numPr>
        <w:spacing w:before="120" w:after="120"/>
        <w:ind w:left="425" w:hanging="425"/>
        <w:contextualSpacing w:val="0"/>
        <w:rPr>
          <w:rFonts w:cstheme="minorHAnsi"/>
          <w:shd w:val="clear" w:color="auto" w:fill="FFFFFF"/>
        </w:rPr>
      </w:pPr>
      <w:r w:rsidRPr="001675E9">
        <w:rPr>
          <w:rFonts w:cstheme="minorHAnsi"/>
        </w:rPr>
        <w:t>Shankar, R. "Total Quality Management: A Practical Approach" [Online]. New York: CRC Press,</w:t>
      </w:r>
      <w:r>
        <w:rPr>
          <w:rFonts w:cstheme="minorHAnsi"/>
        </w:rPr>
        <w:t xml:space="preserve"> 2021. Dostupno: </w:t>
      </w:r>
      <w:r w:rsidRPr="001675E9">
        <w:rPr>
          <w:rFonts w:cstheme="minorHAnsi"/>
        </w:rPr>
        <w:t>https://books.google.hr/books?id=QtnAngEACAAJ&amp;printsec=frontcover&amp;redir_esc=y#v=onepage&amp;q&amp;f=true</w:t>
      </w:r>
      <w:r>
        <w:rPr>
          <w:rFonts w:cstheme="minorHAnsi"/>
        </w:rPr>
        <w:t xml:space="preserve"> </w:t>
      </w:r>
      <w:r>
        <w:t xml:space="preserve">[pristupano 06.05.2023.]. </w:t>
      </w:r>
    </w:p>
    <w:p w14:paraId="1046611F" w14:textId="7ABE0DF6" w:rsidR="00E91079" w:rsidRDefault="00E91079" w:rsidP="00382C15">
      <w:pPr>
        <w:pStyle w:val="ListParagraph"/>
        <w:numPr>
          <w:ilvl w:val="0"/>
          <w:numId w:val="6"/>
        </w:numPr>
        <w:spacing w:before="120" w:after="120"/>
        <w:ind w:left="425" w:hanging="425"/>
        <w:contextualSpacing w:val="0"/>
        <w:jc w:val="both"/>
        <w:rPr>
          <w:rFonts w:cstheme="minorHAnsi"/>
          <w:shd w:val="clear" w:color="auto" w:fill="FFFFFF"/>
        </w:rPr>
      </w:pPr>
      <w:r w:rsidRPr="00E91079">
        <w:rPr>
          <w:rFonts w:cstheme="minorHAnsi"/>
          <w:shd w:val="clear" w:color="auto" w:fill="FFFFFF"/>
        </w:rPr>
        <w:t xml:space="preserve">Toyota Motor Corporation. "Company Profile: Overview." [Online]. </w:t>
      </w:r>
      <w:r>
        <w:rPr>
          <w:rFonts w:cstheme="minorHAnsi"/>
          <w:shd w:val="clear" w:color="auto" w:fill="FFFFFF"/>
        </w:rPr>
        <w:t>Dostupno</w:t>
      </w:r>
      <w:r w:rsidRPr="00E91079">
        <w:rPr>
          <w:rFonts w:cstheme="minorHAnsi"/>
          <w:shd w:val="clear" w:color="auto" w:fill="FFFFFF"/>
        </w:rPr>
        <w:t xml:space="preserve">: </w:t>
      </w:r>
      <w:hyperlink r:id="rId14" w:history="1">
        <w:r w:rsidRPr="00EA6674">
          <w:rPr>
            <w:rStyle w:val="Hyperlink"/>
            <w:rFonts w:cstheme="minorHAnsi"/>
            <w:shd w:val="clear" w:color="auto" w:fill="FFFFFF"/>
          </w:rPr>
          <w:t>https://global.toyota/en/company/profile/overview/</w:t>
        </w:r>
      </w:hyperlink>
      <w:r w:rsidRPr="00E91079">
        <w:rPr>
          <w:rFonts w:cstheme="minorHAnsi"/>
          <w:shd w:val="clear" w:color="auto" w:fill="FFFFFF"/>
        </w:rPr>
        <w:t>.</w:t>
      </w:r>
      <w:r>
        <w:rPr>
          <w:rFonts w:cstheme="minorHAnsi"/>
          <w:shd w:val="clear" w:color="auto" w:fill="FFFFFF"/>
        </w:rPr>
        <w:t xml:space="preserve"> </w:t>
      </w:r>
      <w:r>
        <w:t>[pristupano 06.05.2023.].</w:t>
      </w:r>
    </w:p>
    <w:p w14:paraId="3ACCD8CA" w14:textId="5EAAAF0E" w:rsidR="00AC1A87" w:rsidRPr="008C2469" w:rsidRDefault="00AC1A87" w:rsidP="00382C15">
      <w:pPr>
        <w:pStyle w:val="ListParagraph"/>
        <w:numPr>
          <w:ilvl w:val="0"/>
          <w:numId w:val="6"/>
        </w:numPr>
        <w:shd w:val="clear" w:color="auto" w:fill="FFFFFF"/>
        <w:spacing w:before="120" w:after="120"/>
        <w:ind w:left="425" w:hanging="425"/>
        <w:contextualSpacing w:val="0"/>
        <w:jc w:val="both"/>
        <w:rPr>
          <w:rFonts w:cstheme="minorHAnsi"/>
        </w:rPr>
      </w:pPr>
      <w:r w:rsidRPr="00AC1A87">
        <w:rPr>
          <w:rFonts w:cstheme="minorHAnsi"/>
          <w:shd w:val="clear" w:color="auto" w:fill="FFFFFF"/>
        </w:rPr>
        <w:t xml:space="preserve">Toyota UK. "Kaizen and the Toyota Production System" [Online]. </w:t>
      </w:r>
      <w:r>
        <w:rPr>
          <w:rFonts w:cstheme="minorHAnsi"/>
          <w:shd w:val="clear" w:color="auto" w:fill="FFFFFF"/>
        </w:rPr>
        <w:t>Dostupno</w:t>
      </w:r>
      <w:r w:rsidRPr="00AC1A87">
        <w:rPr>
          <w:rFonts w:cstheme="minorHAnsi"/>
          <w:shd w:val="clear" w:color="auto" w:fill="FFFFFF"/>
        </w:rPr>
        <w:t xml:space="preserve">: </w:t>
      </w:r>
      <w:hyperlink r:id="rId15" w:history="1">
        <w:r w:rsidRPr="00EA6674">
          <w:rPr>
            <w:rStyle w:val="Hyperlink"/>
            <w:rFonts w:cstheme="minorHAnsi"/>
            <w:shd w:val="clear" w:color="auto" w:fill="FFFFFF"/>
          </w:rPr>
          <w:t>https://mag.toyota.co.uk/kaizen-toyota-production-system/</w:t>
        </w:r>
      </w:hyperlink>
      <w:r w:rsidRPr="00AC1A87">
        <w:rPr>
          <w:rFonts w:cstheme="minorHAnsi"/>
          <w:shd w:val="clear" w:color="auto" w:fill="FFFFFF"/>
        </w:rPr>
        <w:t>.</w:t>
      </w:r>
      <w:r>
        <w:rPr>
          <w:rFonts w:cstheme="minorHAnsi"/>
          <w:shd w:val="clear" w:color="auto" w:fill="FFFFFF"/>
        </w:rPr>
        <w:t xml:space="preserve"> </w:t>
      </w:r>
      <w:r>
        <w:t xml:space="preserve">[pristupano </w:t>
      </w:r>
      <w:r w:rsidR="00B95AE6">
        <w:t>0</w:t>
      </w:r>
      <w:r>
        <w:t>6.05.2023.].</w:t>
      </w:r>
    </w:p>
    <w:p w14:paraId="2A565BAE" w14:textId="064C56C1" w:rsidR="008C2469" w:rsidRPr="00AC1A87" w:rsidRDefault="008C2469" w:rsidP="00382C15">
      <w:pPr>
        <w:pStyle w:val="ListParagraph"/>
        <w:numPr>
          <w:ilvl w:val="0"/>
          <w:numId w:val="6"/>
        </w:numPr>
        <w:shd w:val="clear" w:color="auto" w:fill="FFFFFF"/>
        <w:spacing w:before="120" w:after="120"/>
        <w:ind w:left="425" w:hanging="425"/>
        <w:contextualSpacing w:val="0"/>
        <w:jc w:val="both"/>
        <w:rPr>
          <w:rFonts w:cstheme="minorHAnsi"/>
        </w:rPr>
      </w:pPr>
      <w:r w:rsidRPr="008C2469">
        <w:rPr>
          <w:rFonts w:cstheme="minorHAnsi"/>
        </w:rPr>
        <w:lastRenderedPageBreak/>
        <w:t>Toyota UK. "Kanban and the Toyota Production System." [Online]. Available: https://mag.toyota.co.uk/kanban-toyota-production-system/.</w:t>
      </w:r>
    </w:p>
    <w:p w14:paraId="0C59D32B" w14:textId="7DB7E63A" w:rsidR="00B95AE6" w:rsidRPr="00B95AE6" w:rsidRDefault="00B95AE6" w:rsidP="006427BF">
      <w:pPr>
        <w:pStyle w:val="ListParagraph"/>
        <w:numPr>
          <w:ilvl w:val="0"/>
          <w:numId w:val="6"/>
        </w:numPr>
        <w:spacing w:before="120" w:after="120"/>
        <w:ind w:left="425" w:hanging="425"/>
        <w:contextualSpacing w:val="0"/>
        <w:jc w:val="both"/>
        <w:rPr>
          <w:rFonts w:cstheme="minorHAnsi"/>
        </w:rPr>
      </w:pPr>
      <w:r w:rsidRPr="00B95AE6">
        <w:rPr>
          <w:rFonts w:cstheme="minorHAnsi"/>
          <w:shd w:val="clear" w:color="auto" w:fill="FFFFFF"/>
        </w:rPr>
        <w:t xml:space="preserve">Kanban Zone. "Jidoka - The Essential Lean Manufacturing Principle" [Online]. </w:t>
      </w:r>
      <w:r>
        <w:rPr>
          <w:rFonts w:cstheme="minorHAnsi"/>
          <w:shd w:val="clear" w:color="auto" w:fill="FFFFFF"/>
        </w:rPr>
        <w:t>Dostupno</w:t>
      </w:r>
      <w:r w:rsidRPr="00B95AE6">
        <w:rPr>
          <w:rFonts w:cstheme="minorHAnsi"/>
          <w:shd w:val="clear" w:color="auto" w:fill="FFFFFF"/>
        </w:rPr>
        <w:t xml:space="preserve"> </w:t>
      </w:r>
      <w:hyperlink r:id="rId16" w:history="1">
        <w:r w:rsidRPr="00EA6674">
          <w:rPr>
            <w:rStyle w:val="Hyperlink"/>
            <w:rFonts w:cstheme="minorHAnsi"/>
            <w:shd w:val="clear" w:color="auto" w:fill="FFFFFF"/>
          </w:rPr>
          <w:t>https://kanbanzone.com/resources/lean/toyota-production-system/jidoka/</w:t>
        </w:r>
      </w:hyperlink>
      <w:r w:rsidRPr="00B95AE6">
        <w:rPr>
          <w:rFonts w:cstheme="minorHAnsi"/>
          <w:shd w:val="clear" w:color="auto" w:fill="FFFFFF"/>
        </w:rPr>
        <w:t>.</w:t>
      </w:r>
      <w:r>
        <w:rPr>
          <w:rFonts w:cstheme="minorHAnsi"/>
          <w:shd w:val="clear" w:color="auto" w:fill="FFFFFF"/>
        </w:rPr>
        <w:t xml:space="preserve"> </w:t>
      </w:r>
      <w:r>
        <w:t>[pristupano 06.05.2023.].</w:t>
      </w:r>
    </w:p>
    <w:p w14:paraId="54618C89" w14:textId="7B0F3852" w:rsidR="00B95AE6" w:rsidRPr="00B95AE6" w:rsidRDefault="00B95AE6" w:rsidP="00B95AE6">
      <w:pPr>
        <w:pStyle w:val="ListParagraph"/>
        <w:numPr>
          <w:ilvl w:val="0"/>
          <w:numId w:val="6"/>
        </w:numPr>
        <w:spacing w:before="120" w:after="120"/>
        <w:ind w:left="425" w:hanging="425"/>
        <w:contextualSpacing w:val="0"/>
        <w:jc w:val="both"/>
        <w:rPr>
          <w:rFonts w:cstheme="minorHAnsi"/>
        </w:rPr>
      </w:pPr>
      <w:r w:rsidRPr="00B95AE6">
        <w:rPr>
          <w:rFonts w:cstheme="minorHAnsi"/>
        </w:rPr>
        <w:t xml:space="preserve">Kanban Zone. "Poka Yoke - The Essential Lean Manufacturing Principle" [Online]. </w:t>
      </w:r>
      <w:r w:rsidR="008A6D0F">
        <w:rPr>
          <w:rFonts w:cstheme="minorHAnsi"/>
        </w:rPr>
        <w:t>Dostupno</w:t>
      </w:r>
      <w:r w:rsidRPr="00B95AE6">
        <w:rPr>
          <w:rFonts w:cstheme="minorHAnsi"/>
        </w:rPr>
        <w:t xml:space="preserve">: </w:t>
      </w:r>
      <w:hyperlink r:id="rId17" w:history="1">
        <w:r w:rsidRPr="00EA6674">
          <w:rPr>
            <w:rStyle w:val="Hyperlink"/>
            <w:rFonts w:cstheme="minorHAnsi"/>
          </w:rPr>
          <w:t>https://kanbanzone.com/resources/lean/toyota-production-system/poka-yoke/</w:t>
        </w:r>
      </w:hyperlink>
      <w:r w:rsidRPr="00B95AE6">
        <w:rPr>
          <w:rFonts w:cstheme="minorHAnsi"/>
        </w:rPr>
        <w:t>.</w:t>
      </w:r>
      <w:r>
        <w:rPr>
          <w:rFonts w:cstheme="minorHAnsi"/>
        </w:rPr>
        <w:t xml:space="preserve"> </w:t>
      </w:r>
      <w:r>
        <w:t>[pristupano 06.05.2023.].</w:t>
      </w:r>
    </w:p>
    <w:p w14:paraId="52F271B0" w14:textId="77777777" w:rsidR="006427BF" w:rsidRPr="00C90FCE" w:rsidRDefault="006427BF" w:rsidP="000C5160">
      <w:pPr>
        <w:pStyle w:val="ListParagraph"/>
        <w:spacing w:before="120" w:after="120"/>
        <w:ind w:left="1133"/>
        <w:contextualSpacing w:val="0"/>
        <w:jc w:val="both"/>
      </w:pPr>
    </w:p>
    <w:p w14:paraId="3A00584F" w14:textId="77777777" w:rsidR="000D1A96" w:rsidRPr="00C90FCE" w:rsidRDefault="000D1A96" w:rsidP="000C5160">
      <w:pPr>
        <w:pStyle w:val="ListParagraph"/>
        <w:spacing w:before="120" w:after="120"/>
        <w:ind w:left="1133"/>
        <w:contextualSpacing w:val="0"/>
        <w:jc w:val="both"/>
      </w:pPr>
    </w:p>
    <w:p w14:paraId="3A48B3B4" w14:textId="77777777" w:rsidR="000D1A96" w:rsidRPr="00C90FCE" w:rsidRDefault="000D1A96" w:rsidP="000C5160">
      <w:pPr>
        <w:pStyle w:val="ListParagraph"/>
        <w:spacing w:before="120" w:after="120"/>
        <w:ind w:left="1133"/>
        <w:contextualSpacing w:val="0"/>
        <w:jc w:val="both"/>
      </w:pPr>
    </w:p>
    <w:p w14:paraId="1222D48A" w14:textId="77777777" w:rsidR="000D1A96" w:rsidRPr="00C90FCE" w:rsidRDefault="000D1A96" w:rsidP="000C5160">
      <w:pPr>
        <w:pStyle w:val="ListParagraph"/>
        <w:spacing w:before="120" w:after="120"/>
        <w:ind w:left="1133"/>
        <w:contextualSpacing w:val="0"/>
        <w:jc w:val="both"/>
      </w:pPr>
    </w:p>
    <w:p w14:paraId="5D4064EF" w14:textId="77777777" w:rsidR="000D1A96" w:rsidRPr="00C90FCE" w:rsidRDefault="000D1A96" w:rsidP="000C5160">
      <w:pPr>
        <w:pStyle w:val="ListParagraph"/>
        <w:spacing w:before="120" w:after="120"/>
        <w:ind w:left="1133"/>
        <w:contextualSpacing w:val="0"/>
        <w:jc w:val="both"/>
      </w:pPr>
    </w:p>
    <w:p w14:paraId="0A6D0483" w14:textId="77777777" w:rsidR="000D1A96" w:rsidRPr="00C90FCE" w:rsidRDefault="000D1A96" w:rsidP="000C5160">
      <w:pPr>
        <w:pStyle w:val="ListParagraph"/>
        <w:spacing w:before="120" w:after="120"/>
        <w:ind w:left="1133"/>
        <w:contextualSpacing w:val="0"/>
        <w:jc w:val="both"/>
      </w:pPr>
    </w:p>
    <w:p w14:paraId="1352C758" w14:textId="77777777" w:rsidR="000D1A96" w:rsidRPr="00C90FCE" w:rsidRDefault="000D1A96" w:rsidP="000C5160">
      <w:pPr>
        <w:pStyle w:val="ListParagraph"/>
        <w:spacing w:before="120" w:after="120"/>
        <w:ind w:left="1133"/>
        <w:contextualSpacing w:val="0"/>
        <w:jc w:val="both"/>
      </w:pPr>
    </w:p>
    <w:p w14:paraId="69B645D2" w14:textId="77777777" w:rsidR="000D1A96" w:rsidRPr="00C90FCE" w:rsidRDefault="000D1A96" w:rsidP="000C5160">
      <w:pPr>
        <w:pStyle w:val="ListParagraph"/>
        <w:spacing w:before="120" w:after="120"/>
        <w:ind w:left="1133"/>
        <w:contextualSpacing w:val="0"/>
        <w:jc w:val="both"/>
      </w:pPr>
    </w:p>
    <w:p w14:paraId="10A174BD" w14:textId="77777777" w:rsidR="000D1A96" w:rsidRPr="00C90FCE" w:rsidRDefault="000D1A96" w:rsidP="000C5160">
      <w:pPr>
        <w:pStyle w:val="ListParagraph"/>
        <w:spacing w:before="120" w:after="120"/>
        <w:ind w:left="1133"/>
        <w:contextualSpacing w:val="0"/>
        <w:jc w:val="both"/>
      </w:pPr>
    </w:p>
    <w:p w14:paraId="6AA7CE00" w14:textId="77777777" w:rsidR="000D1A96" w:rsidRPr="00C90FCE" w:rsidRDefault="000D1A96" w:rsidP="000C5160">
      <w:pPr>
        <w:pStyle w:val="ListParagraph"/>
        <w:spacing w:before="120" w:after="120"/>
        <w:ind w:left="1133"/>
        <w:contextualSpacing w:val="0"/>
        <w:jc w:val="both"/>
      </w:pPr>
    </w:p>
    <w:sectPr w:rsidR="000D1A96" w:rsidRPr="00C90FCE" w:rsidSect="0015288B">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9FE7" w14:textId="77777777" w:rsidR="002946BF" w:rsidRDefault="002946BF" w:rsidP="0015288B">
      <w:r>
        <w:separator/>
      </w:r>
    </w:p>
  </w:endnote>
  <w:endnote w:type="continuationSeparator" w:id="0">
    <w:p w14:paraId="14DC6549" w14:textId="77777777" w:rsidR="002946BF" w:rsidRDefault="002946BF" w:rsidP="0015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47C8" w14:textId="77777777" w:rsidR="00D43D5A" w:rsidRDefault="00D43D5A">
    <w:pPr>
      <w:pStyle w:val="Footer"/>
      <w:jc w:val="right"/>
    </w:pPr>
  </w:p>
  <w:p w14:paraId="26768C6A" w14:textId="77777777" w:rsidR="00D43D5A" w:rsidRDefault="00D43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3651"/>
      <w:docPartObj>
        <w:docPartGallery w:val="Page Numbers (Bottom of Page)"/>
        <w:docPartUnique/>
      </w:docPartObj>
    </w:sdtPr>
    <w:sdtContent>
      <w:p w14:paraId="1C52092D" w14:textId="77777777" w:rsidR="0008292E" w:rsidRDefault="00D3694E">
        <w:pPr>
          <w:pStyle w:val="Footer"/>
          <w:jc w:val="right"/>
        </w:pPr>
        <w:r>
          <w:fldChar w:fldCharType="begin"/>
        </w:r>
        <w:r>
          <w:instrText xml:space="preserve"> PAGE   \* MERGEFORMAT </w:instrText>
        </w:r>
        <w:r>
          <w:fldChar w:fldCharType="separate"/>
        </w:r>
        <w:r w:rsidR="00142943">
          <w:rPr>
            <w:noProof/>
          </w:rPr>
          <w:t>I</w:t>
        </w:r>
        <w:r>
          <w:rPr>
            <w:noProof/>
          </w:rPr>
          <w:fldChar w:fldCharType="end"/>
        </w:r>
      </w:p>
    </w:sdtContent>
  </w:sdt>
  <w:p w14:paraId="1236B660" w14:textId="77777777" w:rsidR="0008292E" w:rsidRDefault="00082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3647"/>
      <w:docPartObj>
        <w:docPartGallery w:val="Page Numbers (Bottom of Page)"/>
        <w:docPartUnique/>
      </w:docPartObj>
    </w:sdtPr>
    <w:sdtContent>
      <w:p w14:paraId="788A6432" w14:textId="77777777" w:rsidR="0008292E" w:rsidRDefault="00D3694E">
        <w:pPr>
          <w:pStyle w:val="Footer"/>
          <w:jc w:val="right"/>
        </w:pPr>
        <w:r>
          <w:fldChar w:fldCharType="begin"/>
        </w:r>
        <w:r>
          <w:instrText xml:space="preserve"> PAGE   \* MERGEFORMAT </w:instrText>
        </w:r>
        <w:r>
          <w:fldChar w:fldCharType="separate"/>
        </w:r>
        <w:r w:rsidR="00142943">
          <w:rPr>
            <w:noProof/>
          </w:rPr>
          <w:t>7</w:t>
        </w:r>
        <w:r>
          <w:rPr>
            <w:noProof/>
          </w:rPr>
          <w:fldChar w:fldCharType="end"/>
        </w:r>
      </w:p>
    </w:sdtContent>
  </w:sdt>
  <w:p w14:paraId="7032C481" w14:textId="77777777" w:rsidR="0008292E" w:rsidRDefault="00082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649F" w14:textId="77777777" w:rsidR="002946BF" w:rsidRDefault="002946BF" w:rsidP="0015288B">
      <w:r>
        <w:separator/>
      </w:r>
    </w:p>
  </w:footnote>
  <w:footnote w:type="continuationSeparator" w:id="0">
    <w:p w14:paraId="74C3A512" w14:textId="77777777" w:rsidR="002946BF" w:rsidRDefault="002946BF" w:rsidP="0015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962"/>
    <w:multiLevelType w:val="hybridMultilevel"/>
    <w:tmpl w:val="5198ACB8"/>
    <w:lvl w:ilvl="0" w:tplc="041A0001">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 w15:restartNumberingAfterBreak="0">
    <w:nsid w:val="01B232E6"/>
    <w:multiLevelType w:val="hybridMultilevel"/>
    <w:tmpl w:val="D9B8E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65AD9"/>
    <w:multiLevelType w:val="hybridMultilevel"/>
    <w:tmpl w:val="143CC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77119"/>
    <w:multiLevelType w:val="hybridMultilevel"/>
    <w:tmpl w:val="258E0460"/>
    <w:lvl w:ilvl="0" w:tplc="8188E568">
      <w:start w:val="1"/>
      <w:numFmt w:val="bullet"/>
      <w:lvlText w:val=""/>
      <w:lvlJc w:val="left"/>
      <w:pPr>
        <w:tabs>
          <w:tab w:val="num" w:pos="708"/>
        </w:tabs>
        <w:ind w:left="708" w:hanging="360"/>
      </w:pPr>
      <w:rPr>
        <w:rFonts w:ascii="Symbol" w:hAnsi="Symbol" w:hint="default"/>
        <w:color w:val="auto"/>
      </w:rPr>
    </w:lvl>
    <w:lvl w:ilvl="1" w:tplc="041A0003" w:tentative="1">
      <w:start w:val="1"/>
      <w:numFmt w:val="bullet"/>
      <w:lvlText w:val="o"/>
      <w:lvlJc w:val="left"/>
      <w:pPr>
        <w:ind w:left="708" w:hanging="360"/>
      </w:pPr>
      <w:rPr>
        <w:rFonts w:ascii="Courier New" w:hAnsi="Courier New" w:cs="Courier New" w:hint="default"/>
      </w:rPr>
    </w:lvl>
    <w:lvl w:ilvl="2" w:tplc="041A0005" w:tentative="1">
      <w:start w:val="1"/>
      <w:numFmt w:val="bullet"/>
      <w:lvlText w:val=""/>
      <w:lvlJc w:val="left"/>
      <w:pPr>
        <w:ind w:left="1428" w:hanging="360"/>
      </w:pPr>
      <w:rPr>
        <w:rFonts w:ascii="Wingdings" w:hAnsi="Wingdings" w:hint="default"/>
      </w:rPr>
    </w:lvl>
    <w:lvl w:ilvl="3" w:tplc="041A0001" w:tentative="1">
      <w:start w:val="1"/>
      <w:numFmt w:val="bullet"/>
      <w:lvlText w:val=""/>
      <w:lvlJc w:val="left"/>
      <w:pPr>
        <w:ind w:left="2148" w:hanging="360"/>
      </w:pPr>
      <w:rPr>
        <w:rFonts w:ascii="Symbol" w:hAnsi="Symbol" w:hint="default"/>
      </w:rPr>
    </w:lvl>
    <w:lvl w:ilvl="4" w:tplc="041A0003" w:tentative="1">
      <w:start w:val="1"/>
      <w:numFmt w:val="bullet"/>
      <w:lvlText w:val="o"/>
      <w:lvlJc w:val="left"/>
      <w:pPr>
        <w:ind w:left="2868" w:hanging="360"/>
      </w:pPr>
      <w:rPr>
        <w:rFonts w:ascii="Courier New" w:hAnsi="Courier New" w:cs="Courier New" w:hint="default"/>
      </w:rPr>
    </w:lvl>
    <w:lvl w:ilvl="5" w:tplc="041A0005" w:tentative="1">
      <w:start w:val="1"/>
      <w:numFmt w:val="bullet"/>
      <w:lvlText w:val=""/>
      <w:lvlJc w:val="left"/>
      <w:pPr>
        <w:ind w:left="3588" w:hanging="360"/>
      </w:pPr>
      <w:rPr>
        <w:rFonts w:ascii="Wingdings" w:hAnsi="Wingdings" w:hint="default"/>
      </w:rPr>
    </w:lvl>
    <w:lvl w:ilvl="6" w:tplc="041A0001" w:tentative="1">
      <w:start w:val="1"/>
      <w:numFmt w:val="bullet"/>
      <w:lvlText w:val=""/>
      <w:lvlJc w:val="left"/>
      <w:pPr>
        <w:ind w:left="4308" w:hanging="360"/>
      </w:pPr>
      <w:rPr>
        <w:rFonts w:ascii="Symbol" w:hAnsi="Symbol" w:hint="default"/>
      </w:rPr>
    </w:lvl>
    <w:lvl w:ilvl="7" w:tplc="041A0003" w:tentative="1">
      <w:start w:val="1"/>
      <w:numFmt w:val="bullet"/>
      <w:lvlText w:val="o"/>
      <w:lvlJc w:val="left"/>
      <w:pPr>
        <w:ind w:left="5028" w:hanging="360"/>
      </w:pPr>
      <w:rPr>
        <w:rFonts w:ascii="Courier New" w:hAnsi="Courier New" w:cs="Courier New" w:hint="default"/>
      </w:rPr>
    </w:lvl>
    <w:lvl w:ilvl="8" w:tplc="041A0005" w:tentative="1">
      <w:start w:val="1"/>
      <w:numFmt w:val="bullet"/>
      <w:lvlText w:val=""/>
      <w:lvlJc w:val="left"/>
      <w:pPr>
        <w:ind w:left="5748" w:hanging="360"/>
      </w:pPr>
      <w:rPr>
        <w:rFonts w:ascii="Wingdings" w:hAnsi="Wingdings" w:hint="default"/>
      </w:rPr>
    </w:lvl>
  </w:abstractNum>
  <w:abstractNum w:abstractNumId="4" w15:restartNumberingAfterBreak="0">
    <w:nsid w:val="103D3011"/>
    <w:multiLevelType w:val="hybridMultilevel"/>
    <w:tmpl w:val="1A06B1E2"/>
    <w:lvl w:ilvl="0" w:tplc="4A6094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815C14"/>
    <w:multiLevelType w:val="hybridMultilevel"/>
    <w:tmpl w:val="8D742CA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27CC056D"/>
    <w:multiLevelType w:val="hybridMultilevel"/>
    <w:tmpl w:val="BD72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64B1E"/>
    <w:multiLevelType w:val="multilevel"/>
    <w:tmpl w:val="0B4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9409F"/>
    <w:multiLevelType w:val="hybridMultilevel"/>
    <w:tmpl w:val="C45CB832"/>
    <w:lvl w:ilvl="0" w:tplc="0F8011DA">
      <w:start w:val="1"/>
      <w:numFmt w:val="decimal"/>
      <w:pStyle w:val="Brojke"/>
      <w:lvlText w:val="%1)"/>
      <w:lvlJc w:val="left"/>
      <w:pPr>
        <w:tabs>
          <w:tab w:val="num" w:pos="869"/>
        </w:tabs>
        <w:ind w:left="869" w:hanging="58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15:restartNumberingAfterBreak="0">
    <w:nsid w:val="4AD0590B"/>
    <w:multiLevelType w:val="hybridMultilevel"/>
    <w:tmpl w:val="A934D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317CD"/>
    <w:multiLevelType w:val="hybridMultilevel"/>
    <w:tmpl w:val="4B6AA4BE"/>
    <w:lvl w:ilvl="0" w:tplc="4A6094CA">
      <w:start w:val="1"/>
      <w:numFmt w:val="decimal"/>
      <w:lvlText w:val="[%1]"/>
      <w:lvlJc w:val="left"/>
      <w:pPr>
        <w:ind w:left="360"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11" w15:restartNumberingAfterBreak="0">
    <w:nsid w:val="556C65F1"/>
    <w:multiLevelType w:val="hybridMultilevel"/>
    <w:tmpl w:val="7FC4F5D0"/>
    <w:lvl w:ilvl="0" w:tplc="D6262D0C">
      <w:start w:val="1"/>
      <w:numFmt w:val="decimal"/>
      <w:lvlText w:val="%1."/>
      <w:lvlJc w:val="left"/>
      <w:pPr>
        <w:tabs>
          <w:tab w:val="num" w:pos="360"/>
        </w:tabs>
        <w:ind w:left="360" w:hanging="360"/>
      </w:pPr>
      <w:rPr>
        <w:b/>
      </w:rPr>
    </w:lvl>
    <w:lvl w:ilvl="1" w:tplc="8188E568">
      <w:start w:val="1"/>
      <w:numFmt w:val="bullet"/>
      <w:lvlText w:val=""/>
      <w:lvlJc w:val="left"/>
      <w:pPr>
        <w:tabs>
          <w:tab w:val="num" w:pos="1080"/>
        </w:tabs>
        <w:ind w:left="108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9543CF0"/>
    <w:multiLevelType w:val="hybridMultilevel"/>
    <w:tmpl w:val="EDF21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2432D"/>
    <w:multiLevelType w:val="hybridMultilevel"/>
    <w:tmpl w:val="1E80A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832197"/>
    <w:multiLevelType w:val="multilevel"/>
    <w:tmpl w:val="A906C7DC"/>
    <w:lvl w:ilvl="0">
      <w:start w:val="1"/>
      <w:numFmt w:val="decimal"/>
      <w:pStyle w:val="FOINaslov1"/>
      <w:lvlText w:val="%1."/>
      <w:lvlJc w:val="left"/>
      <w:pPr>
        <w:ind w:left="4472" w:hanging="360"/>
      </w:pPr>
      <w:rPr>
        <w:rFonts w:hint="default"/>
      </w:rPr>
    </w:lvl>
    <w:lvl w:ilvl="1">
      <w:start w:val="1"/>
      <w:numFmt w:val="decimal"/>
      <w:pStyle w:val="FOINaslov2"/>
      <w:isLgl/>
      <w:lvlText w:val="%1.%2."/>
      <w:lvlJc w:val="left"/>
      <w:pPr>
        <w:ind w:left="4112" w:hanging="360"/>
      </w:pPr>
      <w:rPr>
        <w:rFonts w:hint="default"/>
        <w:sz w:val="32"/>
      </w:rPr>
    </w:lvl>
    <w:lvl w:ilvl="2">
      <w:start w:val="1"/>
      <w:numFmt w:val="decimal"/>
      <w:pStyle w:val="FOINaslov3"/>
      <w:isLgl/>
      <w:lvlText w:val="%1.%2.%3."/>
      <w:lvlJc w:val="left"/>
      <w:pPr>
        <w:ind w:left="4962" w:hanging="720"/>
      </w:pPr>
      <w:rPr>
        <w:rFonts w:hint="default"/>
      </w:rPr>
    </w:lvl>
    <w:lvl w:ilvl="3">
      <w:start w:val="1"/>
      <w:numFmt w:val="decimal"/>
      <w:pStyle w:val="FOINaslov4"/>
      <w:isLgl/>
      <w:lvlText w:val="%1.%2.%3.%4."/>
      <w:lvlJc w:val="left"/>
      <w:pPr>
        <w:ind w:left="5027" w:hanging="720"/>
      </w:pPr>
      <w:rPr>
        <w:rFonts w:hint="default"/>
      </w:rPr>
    </w:lvl>
    <w:lvl w:ilvl="4">
      <w:start w:val="1"/>
      <w:numFmt w:val="decimal"/>
      <w:isLgl/>
      <w:lvlText w:val="%1.%2.%3.%4.%5."/>
      <w:lvlJc w:val="left"/>
      <w:pPr>
        <w:ind w:left="5452" w:hanging="1080"/>
      </w:pPr>
      <w:rPr>
        <w:rFonts w:hint="default"/>
      </w:rPr>
    </w:lvl>
    <w:lvl w:ilvl="5">
      <w:start w:val="1"/>
      <w:numFmt w:val="decimal"/>
      <w:isLgl/>
      <w:lvlText w:val="%1.%2.%3.%4.%5.%6."/>
      <w:lvlJc w:val="left"/>
      <w:pPr>
        <w:ind w:left="5517" w:hanging="1080"/>
      </w:pPr>
      <w:rPr>
        <w:rFonts w:hint="default"/>
      </w:rPr>
    </w:lvl>
    <w:lvl w:ilvl="6">
      <w:start w:val="1"/>
      <w:numFmt w:val="decimal"/>
      <w:isLgl/>
      <w:lvlText w:val="%1.%2.%3.%4.%5.%6.%7."/>
      <w:lvlJc w:val="left"/>
      <w:pPr>
        <w:ind w:left="5942" w:hanging="1440"/>
      </w:pPr>
      <w:rPr>
        <w:rFonts w:hint="default"/>
      </w:rPr>
    </w:lvl>
    <w:lvl w:ilvl="7">
      <w:start w:val="1"/>
      <w:numFmt w:val="decimal"/>
      <w:isLgl/>
      <w:lvlText w:val="%1.%2.%3.%4.%5.%6.%7.%8."/>
      <w:lvlJc w:val="left"/>
      <w:pPr>
        <w:ind w:left="6007" w:hanging="1440"/>
      </w:pPr>
      <w:rPr>
        <w:rFonts w:hint="default"/>
      </w:rPr>
    </w:lvl>
    <w:lvl w:ilvl="8">
      <w:start w:val="1"/>
      <w:numFmt w:val="decimal"/>
      <w:isLgl/>
      <w:lvlText w:val="%1.%2.%3.%4.%5.%6.%7.%8.%9."/>
      <w:lvlJc w:val="left"/>
      <w:pPr>
        <w:ind w:left="6432" w:hanging="1800"/>
      </w:pPr>
      <w:rPr>
        <w:rFonts w:hint="default"/>
      </w:rPr>
    </w:lvl>
  </w:abstractNum>
  <w:abstractNum w:abstractNumId="15" w15:restartNumberingAfterBreak="0">
    <w:nsid w:val="789F2EDA"/>
    <w:multiLevelType w:val="hybridMultilevel"/>
    <w:tmpl w:val="2E7483B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797E25BB"/>
    <w:multiLevelType w:val="hybridMultilevel"/>
    <w:tmpl w:val="6B62F332"/>
    <w:lvl w:ilvl="0" w:tplc="041A0001">
      <w:start w:val="1"/>
      <w:numFmt w:val="bullet"/>
      <w:lvlText w:val=""/>
      <w:lvlJc w:val="left"/>
      <w:pPr>
        <w:tabs>
          <w:tab w:val="num" w:pos="720"/>
        </w:tabs>
        <w:ind w:left="720" w:hanging="360"/>
      </w:pPr>
      <w:rPr>
        <w:rFonts w:ascii="Symbol" w:hAnsi="Symbol" w:hint="default"/>
        <w:b/>
      </w:rPr>
    </w:lvl>
    <w:lvl w:ilvl="1" w:tplc="8188E568">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3C6A54"/>
    <w:multiLevelType w:val="hybridMultilevel"/>
    <w:tmpl w:val="EB8861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0144072">
    <w:abstractNumId w:val="14"/>
  </w:num>
  <w:num w:numId="2" w16cid:durableId="989675809">
    <w:abstractNumId w:val="0"/>
  </w:num>
  <w:num w:numId="3" w16cid:durableId="761294627">
    <w:abstractNumId w:val="7"/>
  </w:num>
  <w:num w:numId="4" w16cid:durableId="1230462877">
    <w:abstractNumId w:val="8"/>
  </w:num>
  <w:num w:numId="5" w16cid:durableId="320624054">
    <w:abstractNumId w:val="10"/>
  </w:num>
  <w:num w:numId="6" w16cid:durableId="542211346">
    <w:abstractNumId w:val="4"/>
  </w:num>
  <w:num w:numId="7" w16cid:durableId="1658025173">
    <w:abstractNumId w:val="17"/>
  </w:num>
  <w:num w:numId="8" w16cid:durableId="864750723">
    <w:abstractNumId w:val="11"/>
  </w:num>
  <w:num w:numId="9" w16cid:durableId="243956769">
    <w:abstractNumId w:val="3"/>
  </w:num>
  <w:num w:numId="10" w16cid:durableId="834807375">
    <w:abstractNumId w:val="15"/>
  </w:num>
  <w:num w:numId="11" w16cid:durableId="723874357">
    <w:abstractNumId w:val="16"/>
  </w:num>
  <w:num w:numId="12" w16cid:durableId="2108380514">
    <w:abstractNumId w:val="13"/>
  </w:num>
  <w:num w:numId="13" w16cid:durableId="2089958162">
    <w:abstractNumId w:val="14"/>
  </w:num>
  <w:num w:numId="14" w16cid:durableId="158350320">
    <w:abstractNumId w:val="14"/>
  </w:num>
  <w:num w:numId="15" w16cid:durableId="1731492106">
    <w:abstractNumId w:val="1"/>
  </w:num>
  <w:num w:numId="16" w16cid:durableId="1411464893">
    <w:abstractNumId w:val="2"/>
  </w:num>
  <w:num w:numId="17" w16cid:durableId="625544791">
    <w:abstractNumId w:val="6"/>
  </w:num>
  <w:num w:numId="18" w16cid:durableId="1030111524">
    <w:abstractNumId w:val="12"/>
  </w:num>
  <w:num w:numId="19" w16cid:durableId="974918159">
    <w:abstractNumId w:val="9"/>
  </w:num>
  <w:num w:numId="20" w16cid:durableId="47925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40"/>
    <w:rsid w:val="00034FCD"/>
    <w:rsid w:val="00036F66"/>
    <w:rsid w:val="00045E57"/>
    <w:rsid w:val="00057379"/>
    <w:rsid w:val="00067014"/>
    <w:rsid w:val="00077928"/>
    <w:rsid w:val="00077DDE"/>
    <w:rsid w:val="0008292E"/>
    <w:rsid w:val="0009134C"/>
    <w:rsid w:val="000A11F1"/>
    <w:rsid w:val="000C5160"/>
    <w:rsid w:val="000D1A96"/>
    <w:rsid w:val="000D763D"/>
    <w:rsid w:val="00104971"/>
    <w:rsid w:val="00142943"/>
    <w:rsid w:val="00143BAF"/>
    <w:rsid w:val="0015288B"/>
    <w:rsid w:val="001675E9"/>
    <w:rsid w:val="00180E3A"/>
    <w:rsid w:val="0019645F"/>
    <w:rsid w:val="001A088D"/>
    <w:rsid w:val="001D61EA"/>
    <w:rsid w:val="00204741"/>
    <w:rsid w:val="002102EC"/>
    <w:rsid w:val="00211449"/>
    <w:rsid w:val="00216BBC"/>
    <w:rsid w:val="00233675"/>
    <w:rsid w:val="00242CD3"/>
    <w:rsid w:val="0025032C"/>
    <w:rsid w:val="0025626C"/>
    <w:rsid w:val="002712CA"/>
    <w:rsid w:val="00272A73"/>
    <w:rsid w:val="00280C17"/>
    <w:rsid w:val="002818B6"/>
    <w:rsid w:val="002946BF"/>
    <w:rsid w:val="002B3B4E"/>
    <w:rsid w:val="002E3A14"/>
    <w:rsid w:val="002E3CAC"/>
    <w:rsid w:val="00353560"/>
    <w:rsid w:val="00365B40"/>
    <w:rsid w:val="00374EAA"/>
    <w:rsid w:val="00382C15"/>
    <w:rsid w:val="003B05A9"/>
    <w:rsid w:val="003B6E76"/>
    <w:rsid w:val="003D7AF9"/>
    <w:rsid w:val="0042310F"/>
    <w:rsid w:val="004764E4"/>
    <w:rsid w:val="004F1022"/>
    <w:rsid w:val="00502A10"/>
    <w:rsid w:val="005147B6"/>
    <w:rsid w:val="005242ED"/>
    <w:rsid w:val="005257C3"/>
    <w:rsid w:val="0058305F"/>
    <w:rsid w:val="00583EB6"/>
    <w:rsid w:val="005B2AAE"/>
    <w:rsid w:val="005B5D18"/>
    <w:rsid w:val="005E1D8E"/>
    <w:rsid w:val="005F2273"/>
    <w:rsid w:val="0061117E"/>
    <w:rsid w:val="00630D06"/>
    <w:rsid w:val="006427BF"/>
    <w:rsid w:val="00660626"/>
    <w:rsid w:val="006642E4"/>
    <w:rsid w:val="006A4068"/>
    <w:rsid w:val="0072388A"/>
    <w:rsid w:val="00726974"/>
    <w:rsid w:val="007508E1"/>
    <w:rsid w:val="007861F9"/>
    <w:rsid w:val="00791C80"/>
    <w:rsid w:val="007936EA"/>
    <w:rsid w:val="0079623B"/>
    <w:rsid w:val="007A2ED1"/>
    <w:rsid w:val="007B4C8D"/>
    <w:rsid w:val="007C3520"/>
    <w:rsid w:val="007F2F2E"/>
    <w:rsid w:val="008064F8"/>
    <w:rsid w:val="008161A9"/>
    <w:rsid w:val="00842797"/>
    <w:rsid w:val="0084689B"/>
    <w:rsid w:val="008471A0"/>
    <w:rsid w:val="008A6D0F"/>
    <w:rsid w:val="008B0D35"/>
    <w:rsid w:val="008C2469"/>
    <w:rsid w:val="008F6705"/>
    <w:rsid w:val="00901FB5"/>
    <w:rsid w:val="009214AE"/>
    <w:rsid w:val="009228DF"/>
    <w:rsid w:val="00967608"/>
    <w:rsid w:val="009911BD"/>
    <w:rsid w:val="00991DCB"/>
    <w:rsid w:val="0099513D"/>
    <w:rsid w:val="009C32AB"/>
    <w:rsid w:val="00A042C6"/>
    <w:rsid w:val="00A23AF2"/>
    <w:rsid w:val="00A24C5C"/>
    <w:rsid w:val="00A65F22"/>
    <w:rsid w:val="00A815E9"/>
    <w:rsid w:val="00A82589"/>
    <w:rsid w:val="00A93678"/>
    <w:rsid w:val="00A961F7"/>
    <w:rsid w:val="00AB0CC8"/>
    <w:rsid w:val="00AB0FA2"/>
    <w:rsid w:val="00AC1A87"/>
    <w:rsid w:val="00AD26F7"/>
    <w:rsid w:val="00AE4B1E"/>
    <w:rsid w:val="00B27903"/>
    <w:rsid w:val="00B44523"/>
    <w:rsid w:val="00B66155"/>
    <w:rsid w:val="00B85C48"/>
    <w:rsid w:val="00B94E49"/>
    <w:rsid w:val="00B95AE6"/>
    <w:rsid w:val="00BB2366"/>
    <w:rsid w:val="00BD6690"/>
    <w:rsid w:val="00BE37FC"/>
    <w:rsid w:val="00C03FBF"/>
    <w:rsid w:val="00C103FB"/>
    <w:rsid w:val="00C3607C"/>
    <w:rsid w:val="00C64CF9"/>
    <w:rsid w:val="00C90D50"/>
    <w:rsid w:val="00C90FCE"/>
    <w:rsid w:val="00CC0294"/>
    <w:rsid w:val="00D3694E"/>
    <w:rsid w:val="00D43D5A"/>
    <w:rsid w:val="00D570A0"/>
    <w:rsid w:val="00D6124B"/>
    <w:rsid w:val="00D92F6C"/>
    <w:rsid w:val="00D94E8E"/>
    <w:rsid w:val="00DA1967"/>
    <w:rsid w:val="00DE2A32"/>
    <w:rsid w:val="00DF32E9"/>
    <w:rsid w:val="00E0605C"/>
    <w:rsid w:val="00E4453E"/>
    <w:rsid w:val="00E72435"/>
    <w:rsid w:val="00E72E78"/>
    <w:rsid w:val="00E7632E"/>
    <w:rsid w:val="00E91079"/>
    <w:rsid w:val="00EA383B"/>
    <w:rsid w:val="00EA7310"/>
    <w:rsid w:val="00EE1106"/>
    <w:rsid w:val="00F13C02"/>
    <w:rsid w:val="00F518DC"/>
    <w:rsid w:val="00F62006"/>
    <w:rsid w:val="00F64E78"/>
    <w:rsid w:val="00FB1F07"/>
    <w:rsid w:val="00FC72D0"/>
    <w:rsid w:val="00FD0CD5"/>
    <w:rsid w:val="00FE7A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94679"/>
  <w15:docId w15:val="{D91533E9-FA8B-44D1-9861-C17B9C78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B40"/>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EA73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73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73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zivinstitucije">
    <w:name w:val="Naziv institucije"/>
    <w:basedOn w:val="Normal"/>
    <w:link w:val="NazivinstitucijeChar"/>
    <w:rsid w:val="00365B40"/>
    <w:pPr>
      <w:jc w:val="center"/>
    </w:pPr>
    <w:rPr>
      <w:b/>
      <w:bCs/>
    </w:rPr>
  </w:style>
  <w:style w:type="paragraph" w:customStyle="1" w:styleId="Imeiprezimekandidata">
    <w:name w:val="Ime i prezime kandidata"/>
    <w:basedOn w:val="Normal"/>
    <w:rsid w:val="00365B40"/>
    <w:pPr>
      <w:spacing w:before="120" w:line="360" w:lineRule="auto"/>
      <w:jc w:val="both"/>
    </w:pPr>
    <w:rPr>
      <w:b/>
      <w:sz w:val="28"/>
    </w:rPr>
  </w:style>
  <w:style w:type="paragraph" w:customStyle="1" w:styleId="Naslovzavrnograda">
    <w:name w:val="Naslov završnog rada"/>
    <w:basedOn w:val="Normal"/>
    <w:rsid w:val="00365B40"/>
    <w:pPr>
      <w:jc w:val="center"/>
    </w:pPr>
    <w:rPr>
      <w:rFonts w:ascii="Arial" w:hAnsi="Arial"/>
      <w:b/>
      <w:sz w:val="36"/>
    </w:rPr>
  </w:style>
  <w:style w:type="paragraph" w:customStyle="1" w:styleId="ZAVRNIRAD">
    <w:name w:val="&quot;ZAVRŠNI RAD&quot;"/>
    <w:basedOn w:val="Nazivinstitucije"/>
    <w:rsid w:val="00365B40"/>
    <w:rPr>
      <w:caps/>
    </w:rPr>
  </w:style>
  <w:style w:type="paragraph" w:customStyle="1" w:styleId="Mjesto">
    <w:name w:val="Mjesto"/>
    <w:aliases w:val="godina završnog rada"/>
    <w:basedOn w:val="Nazivinstitucije"/>
    <w:link w:val="MjestoChar"/>
    <w:rsid w:val="00365B40"/>
  </w:style>
  <w:style w:type="paragraph" w:customStyle="1" w:styleId="Podaciokandidatu">
    <w:name w:val="Podaci o kandidatu"/>
    <w:basedOn w:val="Normal"/>
    <w:rsid w:val="00365B40"/>
    <w:pPr>
      <w:spacing w:before="120"/>
    </w:pPr>
    <w:rPr>
      <w:b/>
    </w:rPr>
  </w:style>
  <w:style w:type="paragraph" w:customStyle="1" w:styleId="Mentor">
    <w:name w:val="&quot;Mentor:&quot;"/>
    <w:basedOn w:val="Normal"/>
    <w:rsid w:val="00365B40"/>
    <w:pPr>
      <w:spacing w:before="120" w:line="360" w:lineRule="auto"/>
      <w:ind w:left="4956"/>
      <w:jc w:val="both"/>
    </w:pPr>
    <w:rPr>
      <w:b/>
      <w:bCs/>
    </w:rPr>
  </w:style>
  <w:style w:type="paragraph" w:customStyle="1" w:styleId="Podaciomentoru">
    <w:name w:val="Podaci o mentoru"/>
    <w:basedOn w:val="Normal"/>
    <w:rsid w:val="00365B40"/>
    <w:pPr>
      <w:spacing w:line="360" w:lineRule="auto"/>
      <w:ind w:left="4956"/>
      <w:jc w:val="both"/>
    </w:pPr>
  </w:style>
  <w:style w:type="paragraph" w:customStyle="1" w:styleId="FOINaslov1">
    <w:name w:val="FOI Naslov 1"/>
    <w:basedOn w:val="Mjesto"/>
    <w:link w:val="FOINaslov1Char"/>
    <w:autoRedefine/>
    <w:qFormat/>
    <w:rsid w:val="00C103FB"/>
    <w:pPr>
      <w:numPr>
        <w:numId w:val="1"/>
      </w:numPr>
      <w:tabs>
        <w:tab w:val="left" w:pos="426"/>
      </w:tabs>
      <w:spacing w:after="240"/>
      <w:ind w:left="0" w:firstLine="0"/>
    </w:pPr>
    <w:rPr>
      <w:sz w:val="36"/>
    </w:rPr>
  </w:style>
  <w:style w:type="paragraph" w:styleId="ListParagraph">
    <w:name w:val="List Paragraph"/>
    <w:basedOn w:val="Normal"/>
    <w:link w:val="ListParagraphChar"/>
    <w:uiPriority w:val="34"/>
    <w:qFormat/>
    <w:rsid w:val="00FE7A9A"/>
    <w:pPr>
      <w:ind w:left="720"/>
      <w:contextualSpacing/>
    </w:pPr>
  </w:style>
  <w:style w:type="character" w:customStyle="1" w:styleId="NazivinstitucijeChar">
    <w:name w:val="Naziv institucije Char"/>
    <w:basedOn w:val="DefaultParagraphFont"/>
    <w:link w:val="Nazivinstitucije"/>
    <w:rsid w:val="00FD0CD5"/>
    <w:rPr>
      <w:rFonts w:ascii="Times New Roman" w:eastAsia="Times New Roman" w:hAnsi="Times New Roman" w:cs="Times New Roman"/>
      <w:b/>
      <w:bCs/>
      <w:sz w:val="24"/>
      <w:szCs w:val="24"/>
      <w:lang w:eastAsia="hr-HR"/>
    </w:rPr>
  </w:style>
  <w:style w:type="character" w:customStyle="1" w:styleId="MjestoChar">
    <w:name w:val="Mjesto Char"/>
    <w:aliases w:val="godina završnog rada Char"/>
    <w:basedOn w:val="NazivinstitucijeChar"/>
    <w:link w:val="Mjesto"/>
    <w:rsid w:val="00FD0CD5"/>
    <w:rPr>
      <w:rFonts w:ascii="Times New Roman" w:eastAsia="Times New Roman" w:hAnsi="Times New Roman" w:cs="Times New Roman"/>
      <w:b/>
      <w:bCs/>
      <w:sz w:val="24"/>
      <w:szCs w:val="24"/>
      <w:lang w:eastAsia="hr-HR"/>
    </w:rPr>
  </w:style>
  <w:style w:type="character" w:customStyle="1" w:styleId="FOINaslov1Char">
    <w:name w:val="FOI Naslov 1 Char"/>
    <w:basedOn w:val="MjestoChar"/>
    <w:link w:val="FOINaslov1"/>
    <w:rsid w:val="00C103FB"/>
    <w:rPr>
      <w:rFonts w:ascii="Times New Roman" w:eastAsia="Times New Roman" w:hAnsi="Times New Roman" w:cs="Times New Roman"/>
      <w:b/>
      <w:bCs/>
      <w:sz w:val="36"/>
      <w:szCs w:val="24"/>
      <w:lang w:eastAsia="hr-HR"/>
    </w:rPr>
  </w:style>
  <w:style w:type="paragraph" w:customStyle="1" w:styleId="FOINaslov2">
    <w:name w:val="FOI Naslov 2"/>
    <w:basedOn w:val="ListParagraph"/>
    <w:link w:val="FOINaslov2Char"/>
    <w:qFormat/>
    <w:rsid w:val="000A11F1"/>
    <w:pPr>
      <w:numPr>
        <w:ilvl w:val="1"/>
        <w:numId w:val="1"/>
      </w:numPr>
      <w:spacing w:before="240" w:after="120"/>
      <w:ind w:left="357" w:hanging="357"/>
      <w:contextualSpacing w:val="0"/>
      <w:jc w:val="both"/>
    </w:pPr>
    <w:rPr>
      <w:b/>
      <w:sz w:val="32"/>
    </w:rPr>
  </w:style>
  <w:style w:type="paragraph" w:customStyle="1" w:styleId="FOINaslov3">
    <w:name w:val="FOI Naslov 3"/>
    <w:basedOn w:val="ListParagraph"/>
    <w:link w:val="FOINaslov3Char"/>
    <w:qFormat/>
    <w:rsid w:val="000A11F1"/>
    <w:pPr>
      <w:numPr>
        <w:ilvl w:val="2"/>
        <w:numId w:val="1"/>
      </w:numPr>
      <w:spacing w:before="240" w:after="120"/>
      <w:ind w:left="709" w:hanging="709"/>
      <w:jc w:val="both"/>
    </w:pPr>
    <w:rPr>
      <w:b/>
      <w:sz w:val="28"/>
    </w:rPr>
  </w:style>
  <w:style w:type="character" w:customStyle="1" w:styleId="ListParagraphChar">
    <w:name w:val="List Paragraph Char"/>
    <w:basedOn w:val="DefaultParagraphFont"/>
    <w:link w:val="ListParagraph"/>
    <w:uiPriority w:val="34"/>
    <w:rsid w:val="000A11F1"/>
    <w:rPr>
      <w:rFonts w:ascii="Times New Roman" w:eastAsia="Times New Roman" w:hAnsi="Times New Roman" w:cs="Times New Roman"/>
      <w:sz w:val="24"/>
      <w:szCs w:val="24"/>
      <w:lang w:eastAsia="hr-HR"/>
    </w:rPr>
  </w:style>
  <w:style w:type="character" w:customStyle="1" w:styleId="FOINaslov2Char">
    <w:name w:val="FOI Naslov 2 Char"/>
    <w:basedOn w:val="ListParagraphChar"/>
    <w:link w:val="FOINaslov2"/>
    <w:rsid w:val="000A11F1"/>
    <w:rPr>
      <w:rFonts w:ascii="Times New Roman" w:eastAsia="Times New Roman" w:hAnsi="Times New Roman" w:cs="Times New Roman"/>
      <w:b/>
      <w:sz w:val="32"/>
      <w:szCs w:val="24"/>
      <w:lang w:eastAsia="hr-HR"/>
    </w:rPr>
  </w:style>
  <w:style w:type="paragraph" w:customStyle="1" w:styleId="FOINaslov4">
    <w:name w:val="FOI Naslov 4"/>
    <w:basedOn w:val="ListParagraph"/>
    <w:link w:val="FOINaslov4Char"/>
    <w:qFormat/>
    <w:rsid w:val="000A11F1"/>
    <w:pPr>
      <w:numPr>
        <w:ilvl w:val="3"/>
        <w:numId w:val="1"/>
      </w:numPr>
      <w:spacing w:before="240" w:after="120"/>
      <w:ind w:left="851" w:hanging="851"/>
      <w:contextualSpacing w:val="0"/>
      <w:jc w:val="both"/>
    </w:pPr>
    <w:rPr>
      <w:b/>
    </w:rPr>
  </w:style>
  <w:style w:type="character" w:customStyle="1" w:styleId="FOINaslov3Char">
    <w:name w:val="FOI Naslov 3 Char"/>
    <w:basedOn w:val="ListParagraphChar"/>
    <w:link w:val="FOINaslov3"/>
    <w:rsid w:val="000A11F1"/>
    <w:rPr>
      <w:rFonts w:ascii="Times New Roman" w:eastAsia="Times New Roman" w:hAnsi="Times New Roman" w:cs="Times New Roman"/>
      <w:b/>
      <w:sz w:val="28"/>
      <w:szCs w:val="24"/>
      <w:lang w:eastAsia="hr-HR"/>
    </w:rPr>
  </w:style>
  <w:style w:type="character" w:customStyle="1" w:styleId="FOINaslov4Char">
    <w:name w:val="FOI Naslov 4 Char"/>
    <w:basedOn w:val="ListParagraphChar"/>
    <w:link w:val="FOINaslov4"/>
    <w:rsid w:val="000A11F1"/>
    <w:rPr>
      <w:rFonts w:ascii="Times New Roman" w:eastAsia="Times New Roman" w:hAnsi="Times New Roman" w:cs="Times New Roman"/>
      <w:b/>
      <w:sz w:val="24"/>
      <w:szCs w:val="24"/>
      <w:lang w:eastAsia="hr-HR"/>
    </w:rPr>
  </w:style>
  <w:style w:type="paragraph" w:styleId="NormalWeb">
    <w:name w:val="Normal (Web)"/>
    <w:basedOn w:val="Normal"/>
    <w:uiPriority w:val="99"/>
    <w:semiHidden/>
    <w:unhideWhenUsed/>
    <w:rsid w:val="00A82589"/>
    <w:pPr>
      <w:spacing w:before="100" w:beforeAutospacing="1" w:after="100" w:afterAutospacing="1"/>
    </w:pPr>
  </w:style>
  <w:style w:type="paragraph" w:customStyle="1" w:styleId="Brojke">
    <w:name w:val="Brojke"/>
    <w:basedOn w:val="Normal"/>
    <w:rsid w:val="00045E57"/>
    <w:pPr>
      <w:numPr>
        <w:numId w:val="4"/>
      </w:numPr>
      <w:spacing w:after="120" w:line="360" w:lineRule="auto"/>
    </w:pPr>
    <w:rPr>
      <w:rFonts w:ascii="Arial" w:hAnsi="Arial" w:cs="Arial"/>
      <w:lang w:eastAsia="en-US"/>
    </w:rPr>
  </w:style>
  <w:style w:type="character" w:customStyle="1" w:styleId="Heading1Char">
    <w:name w:val="Heading 1 Char"/>
    <w:basedOn w:val="DefaultParagraphFont"/>
    <w:link w:val="Heading1"/>
    <w:uiPriority w:val="9"/>
    <w:rsid w:val="00EA7310"/>
    <w:rPr>
      <w:rFonts w:asciiTheme="majorHAnsi" w:eastAsiaTheme="majorEastAsia" w:hAnsiTheme="majorHAnsi" w:cstheme="majorBidi"/>
      <w:b/>
      <w:bCs/>
      <w:color w:val="365F91" w:themeColor="accent1" w:themeShade="BF"/>
      <w:sz w:val="28"/>
      <w:szCs w:val="28"/>
      <w:lang w:eastAsia="hr-HR"/>
    </w:rPr>
  </w:style>
  <w:style w:type="character" w:customStyle="1" w:styleId="Heading2Char">
    <w:name w:val="Heading 2 Char"/>
    <w:basedOn w:val="DefaultParagraphFont"/>
    <w:link w:val="Heading2"/>
    <w:uiPriority w:val="9"/>
    <w:semiHidden/>
    <w:rsid w:val="00EA7310"/>
    <w:rPr>
      <w:rFonts w:asciiTheme="majorHAnsi" w:eastAsiaTheme="majorEastAsia" w:hAnsiTheme="majorHAnsi" w:cstheme="majorBidi"/>
      <w:b/>
      <w:bCs/>
      <w:color w:val="4F81BD" w:themeColor="accent1"/>
      <w:sz w:val="26"/>
      <w:szCs w:val="26"/>
      <w:lang w:eastAsia="hr-HR"/>
    </w:rPr>
  </w:style>
  <w:style w:type="character" w:customStyle="1" w:styleId="Heading3Char">
    <w:name w:val="Heading 3 Char"/>
    <w:basedOn w:val="DefaultParagraphFont"/>
    <w:link w:val="Heading3"/>
    <w:uiPriority w:val="9"/>
    <w:semiHidden/>
    <w:rsid w:val="00EA7310"/>
    <w:rPr>
      <w:rFonts w:asciiTheme="majorHAnsi" w:eastAsiaTheme="majorEastAsia" w:hAnsiTheme="majorHAnsi" w:cstheme="majorBidi"/>
      <w:b/>
      <w:bCs/>
      <w:color w:val="4F81BD" w:themeColor="accent1"/>
      <w:sz w:val="24"/>
      <w:szCs w:val="24"/>
      <w:lang w:eastAsia="hr-HR"/>
    </w:rPr>
  </w:style>
  <w:style w:type="paragraph" w:styleId="TOC1">
    <w:name w:val="toc 1"/>
    <w:basedOn w:val="Normal"/>
    <w:next w:val="Normal"/>
    <w:autoRedefine/>
    <w:uiPriority w:val="39"/>
    <w:unhideWhenUsed/>
    <w:rsid w:val="0015288B"/>
    <w:pPr>
      <w:tabs>
        <w:tab w:val="left" w:pos="284"/>
        <w:tab w:val="right" w:leader="dot" w:pos="9062"/>
      </w:tabs>
      <w:spacing w:after="100"/>
    </w:pPr>
  </w:style>
  <w:style w:type="paragraph" w:styleId="TOC2">
    <w:name w:val="toc 2"/>
    <w:basedOn w:val="Normal"/>
    <w:next w:val="Normal"/>
    <w:autoRedefine/>
    <w:uiPriority w:val="39"/>
    <w:unhideWhenUsed/>
    <w:rsid w:val="0015288B"/>
    <w:pPr>
      <w:tabs>
        <w:tab w:val="left" w:pos="709"/>
        <w:tab w:val="right" w:leader="dot" w:pos="9062"/>
      </w:tabs>
      <w:spacing w:after="100"/>
      <w:ind w:left="240"/>
    </w:pPr>
  </w:style>
  <w:style w:type="paragraph" w:styleId="TOC3">
    <w:name w:val="toc 3"/>
    <w:basedOn w:val="Normal"/>
    <w:next w:val="Normal"/>
    <w:autoRedefine/>
    <w:uiPriority w:val="39"/>
    <w:unhideWhenUsed/>
    <w:rsid w:val="0015288B"/>
    <w:pPr>
      <w:tabs>
        <w:tab w:val="left" w:pos="1134"/>
        <w:tab w:val="right" w:leader="dot" w:pos="9062"/>
      </w:tabs>
      <w:spacing w:after="100"/>
      <w:ind w:left="480"/>
    </w:pPr>
  </w:style>
  <w:style w:type="paragraph" w:styleId="TOC4">
    <w:name w:val="toc 4"/>
    <w:basedOn w:val="Normal"/>
    <w:next w:val="Normal"/>
    <w:autoRedefine/>
    <w:uiPriority w:val="39"/>
    <w:unhideWhenUsed/>
    <w:rsid w:val="0015288B"/>
    <w:pPr>
      <w:tabs>
        <w:tab w:val="left" w:pos="1560"/>
        <w:tab w:val="right" w:leader="dot" w:pos="9062"/>
      </w:tabs>
      <w:spacing w:after="100"/>
      <w:ind w:left="720"/>
    </w:pPr>
  </w:style>
  <w:style w:type="character" w:styleId="Hyperlink">
    <w:name w:val="Hyperlink"/>
    <w:basedOn w:val="DefaultParagraphFont"/>
    <w:uiPriority w:val="99"/>
    <w:unhideWhenUsed/>
    <w:rsid w:val="00EA7310"/>
    <w:rPr>
      <w:color w:val="0000FF" w:themeColor="hyperlink"/>
      <w:u w:val="single"/>
    </w:rPr>
  </w:style>
  <w:style w:type="character" w:customStyle="1" w:styleId="apple-converted-space">
    <w:name w:val="apple-converted-space"/>
    <w:basedOn w:val="DefaultParagraphFont"/>
    <w:rsid w:val="00901FB5"/>
  </w:style>
  <w:style w:type="paragraph" w:styleId="PlainText">
    <w:name w:val="Plain Text"/>
    <w:basedOn w:val="Normal"/>
    <w:link w:val="PlainTextChar"/>
    <w:rsid w:val="00DF32E9"/>
    <w:rPr>
      <w:rFonts w:ascii="Courier New" w:hAnsi="Courier New"/>
      <w:sz w:val="20"/>
      <w:szCs w:val="20"/>
      <w:lang w:val="en-US" w:eastAsia="en-US"/>
    </w:rPr>
  </w:style>
  <w:style w:type="character" w:customStyle="1" w:styleId="PlainTextChar">
    <w:name w:val="Plain Text Char"/>
    <w:basedOn w:val="DefaultParagraphFont"/>
    <w:link w:val="PlainText"/>
    <w:rsid w:val="00DF32E9"/>
    <w:rPr>
      <w:rFonts w:ascii="Courier New" w:eastAsia="Times New Roman" w:hAnsi="Courier New" w:cs="Times New Roman"/>
      <w:sz w:val="20"/>
      <w:szCs w:val="20"/>
      <w:lang w:val="en-US"/>
    </w:rPr>
  </w:style>
  <w:style w:type="paragraph" w:styleId="TOCHeading">
    <w:name w:val="TOC Heading"/>
    <w:basedOn w:val="Heading1"/>
    <w:next w:val="Normal"/>
    <w:uiPriority w:val="39"/>
    <w:semiHidden/>
    <w:unhideWhenUsed/>
    <w:qFormat/>
    <w:rsid w:val="00BB2366"/>
    <w:pPr>
      <w:spacing w:line="276" w:lineRule="auto"/>
      <w:outlineLvl w:val="9"/>
    </w:pPr>
    <w:rPr>
      <w:lang w:eastAsia="en-US"/>
    </w:rPr>
  </w:style>
  <w:style w:type="paragraph" w:styleId="BalloonText">
    <w:name w:val="Balloon Text"/>
    <w:basedOn w:val="Normal"/>
    <w:link w:val="BalloonTextChar"/>
    <w:uiPriority w:val="99"/>
    <w:semiHidden/>
    <w:unhideWhenUsed/>
    <w:rsid w:val="00BB2366"/>
    <w:rPr>
      <w:rFonts w:ascii="Tahoma" w:hAnsi="Tahoma" w:cs="Tahoma"/>
      <w:sz w:val="16"/>
      <w:szCs w:val="16"/>
    </w:rPr>
  </w:style>
  <w:style w:type="character" w:customStyle="1" w:styleId="BalloonTextChar">
    <w:name w:val="Balloon Text Char"/>
    <w:basedOn w:val="DefaultParagraphFont"/>
    <w:link w:val="BalloonText"/>
    <w:uiPriority w:val="99"/>
    <w:semiHidden/>
    <w:rsid w:val="00BB2366"/>
    <w:rPr>
      <w:rFonts w:ascii="Tahoma" w:eastAsia="Times New Roman" w:hAnsi="Tahoma" w:cs="Tahoma"/>
      <w:sz w:val="16"/>
      <w:szCs w:val="16"/>
      <w:lang w:eastAsia="hr-HR"/>
    </w:rPr>
  </w:style>
  <w:style w:type="paragraph" w:styleId="Header">
    <w:name w:val="header"/>
    <w:basedOn w:val="Normal"/>
    <w:link w:val="HeaderChar"/>
    <w:uiPriority w:val="99"/>
    <w:unhideWhenUsed/>
    <w:rsid w:val="0015288B"/>
    <w:pPr>
      <w:tabs>
        <w:tab w:val="center" w:pos="4536"/>
        <w:tab w:val="right" w:pos="9072"/>
      </w:tabs>
    </w:pPr>
  </w:style>
  <w:style w:type="character" w:customStyle="1" w:styleId="HeaderChar">
    <w:name w:val="Header Char"/>
    <w:basedOn w:val="DefaultParagraphFont"/>
    <w:link w:val="Header"/>
    <w:uiPriority w:val="99"/>
    <w:rsid w:val="0015288B"/>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15288B"/>
    <w:pPr>
      <w:tabs>
        <w:tab w:val="center" w:pos="4536"/>
        <w:tab w:val="right" w:pos="9072"/>
      </w:tabs>
    </w:pPr>
  </w:style>
  <w:style w:type="character" w:customStyle="1" w:styleId="FooterChar">
    <w:name w:val="Footer Char"/>
    <w:basedOn w:val="DefaultParagraphFont"/>
    <w:link w:val="Footer"/>
    <w:uiPriority w:val="99"/>
    <w:rsid w:val="0015288B"/>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08292E"/>
    <w:rPr>
      <w:sz w:val="16"/>
      <w:szCs w:val="16"/>
    </w:rPr>
  </w:style>
  <w:style w:type="paragraph" w:styleId="CommentText">
    <w:name w:val="annotation text"/>
    <w:basedOn w:val="Normal"/>
    <w:link w:val="CommentTextChar"/>
    <w:uiPriority w:val="99"/>
    <w:semiHidden/>
    <w:unhideWhenUsed/>
    <w:rsid w:val="0008292E"/>
    <w:rPr>
      <w:sz w:val="20"/>
      <w:szCs w:val="20"/>
    </w:rPr>
  </w:style>
  <w:style w:type="character" w:customStyle="1" w:styleId="CommentTextChar">
    <w:name w:val="Comment Text Char"/>
    <w:basedOn w:val="DefaultParagraphFont"/>
    <w:link w:val="CommentText"/>
    <w:uiPriority w:val="99"/>
    <w:semiHidden/>
    <w:rsid w:val="0008292E"/>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08292E"/>
    <w:rPr>
      <w:b/>
      <w:bCs/>
    </w:rPr>
  </w:style>
  <w:style w:type="character" w:customStyle="1" w:styleId="CommentSubjectChar">
    <w:name w:val="Comment Subject Char"/>
    <w:basedOn w:val="CommentTextChar"/>
    <w:link w:val="CommentSubject"/>
    <w:uiPriority w:val="99"/>
    <w:semiHidden/>
    <w:rsid w:val="0008292E"/>
    <w:rPr>
      <w:rFonts w:ascii="Times New Roman" w:eastAsia="Times New Roman" w:hAnsi="Times New Roman" w:cs="Times New Roman"/>
      <w:b/>
      <w:bCs/>
      <w:sz w:val="20"/>
      <w:szCs w:val="20"/>
      <w:lang w:eastAsia="hr-HR"/>
    </w:rPr>
  </w:style>
  <w:style w:type="character" w:styleId="UnresolvedMention">
    <w:name w:val="Unresolved Mention"/>
    <w:basedOn w:val="DefaultParagraphFont"/>
    <w:uiPriority w:val="99"/>
    <w:semiHidden/>
    <w:unhideWhenUsed/>
    <w:rsid w:val="00AC1A87"/>
    <w:rPr>
      <w:color w:val="605E5C"/>
      <w:shd w:val="clear" w:color="auto" w:fill="E1DFDD"/>
    </w:rPr>
  </w:style>
  <w:style w:type="character" w:styleId="FollowedHyperlink">
    <w:name w:val="FollowedHyperlink"/>
    <w:basedOn w:val="DefaultParagraphFont"/>
    <w:uiPriority w:val="99"/>
    <w:semiHidden/>
    <w:unhideWhenUsed/>
    <w:rsid w:val="00AC1A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1793">
      <w:bodyDiv w:val="1"/>
      <w:marLeft w:val="0"/>
      <w:marRight w:val="0"/>
      <w:marTop w:val="0"/>
      <w:marBottom w:val="0"/>
      <w:divBdr>
        <w:top w:val="none" w:sz="0" w:space="0" w:color="auto"/>
        <w:left w:val="none" w:sz="0" w:space="0" w:color="auto"/>
        <w:bottom w:val="none" w:sz="0" w:space="0" w:color="auto"/>
        <w:right w:val="none" w:sz="0" w:space="0" w:color="auto"/>
      </w:divBdr>
      <w:divsChild>
        <w:div w:id="371424812">
          <w:marLeft w:val="1440"/>
          <w:marRight w:val="0"/>
          <w:marTop w:val="240"/>
          <w:marBottom w:val="0"/>
          <w:divBdr>
            <w:top w:val="none" w:sz="0" w:space="0" w:color="auto"/>
            <w:left w:val="none" w:sz="0" w:space="0" w:color="auto"/>
            <w:bottom w:val="none" w:sz="0" w:space="0" w:color="auto"/>
            <w:right w:val="none" w:sz="0" w:space="0" w:color="auto"/>
          </w:divBdr>
        </w:div>
        <w:div w:id="91511398">
          <w:marLeft w:val="1440"/>
          <w:marRight w:val="0"/>
          <w:marTop w:val="240"/>
          <w:marBottom w:val="0"/>
          <w:divBdr>
            <w:top w:val="none" w:sz="0" w:space="0" w:color="auto"/>
            <w:left w:val="none" w:sz="0" w:space="0" w:color="auto"/>
            <w:bottom w:val="none" w:sz="0" w:space="0" w:color="auto"/>
            <w:right w:val="none" w:sz="0" w:space="0" w:color="auto"/>
          </w:divBdr>
        </w:div>
        <w:div w:id="370542269">
          <w:marLeft w:val="1440"/>
          <w:marRight w:val="0"/>
          <w:marTop w:val="240"/>
          <w:marBottom w:val="0"/>
          <w:divBdr>
            <w:top w:val="none" w:sz="0" w:space="0" w:color="auto"/>
            <w:left w:val="none" w:sz="0" w:space="0" w:color="auto"/>
            <w:bottom w:val="none" w:sz="0" w:space="0" w:color="auto"/>
            <w:right w:val="none" w:sz="0" w:space="0" w:color="auto"/>
          </w:divBdr>
        </w:div>
      </w:divsChild>
    </w:div>
    <w:div w:id="204683760">
      <w:bodyDiv w:val="1"/>
      <w:marLeft w:val="0"/>
      <w:marRight w:val="0"/>
      <w:marTop w:val="0"/>
      <w:marBottom w:val="0"/>
      <w:divBdr>
        <w:top w:val="none" w:sz="0" w:space="0" w:color="auto"/>
        <w:left w:val="none" w:sz="0" w:space="0" w:color="auto"/>
        <w:bottom w:val="none" w:sz="0" w:space="0" w:color="auto"/>
        <w:right w:val="none" w:sz="0" w:space="0" w:color="auto"/>
      </w:divBdr>
    </w:div>
    <w:div w:id="791090518">
      <w:bodyDiv w:val="1"/>
      <w:marLeft w:val="0"/>
      <w:marRight w:val="0"/>
      <w:marTop w:val="0"/>
      <w:marBottom w:val="0"/>
      <w:divBdr>
        <w:top w:val="none" w:sz="0" w:space="0" w:color="auto"/>
        <w:left w:val="none" w:sz="0" w:space="0" w:color="auto"/>
        <w:bottom w:val="none" w:sz="0" w:space="0" w:color="auto"/>
        <w:right w:val="none" w:sz="0" w:space="0" w:color="auto"/>
      </w:divBdr>
    </w:div>
    <w:div w:id="807169222">
      <w:bodyDiv w:val="1"/>
      <w:marLeft w:val="0"/>
      <w:marRight w:val="0"/>
      <w:marTop w:val="0"/>
      <w:marBottom w:val="0"/>
      <w:divBdr>
        <w:top w:val="none" w:sz="0" w:space="0" w:color="auto"/>
        <w:left w:val="none" w:sz="0" w:space="0" w:color="auto"/>
        <w:bottom w:val="none" w:sz="0" w:space="0" w:color="auto"/>
        <w:right w:val="none" w:sz="0" w:space="0" w:color="auto"/>
      </w:divBdr>
    </w:div>
    <w:div w:id="942227724">
      <w:bodyDiv w:val="1"/>
      <w:marLeft w:val="0"/>
      <w:marRight w:val="0"/>
      <w:marTop w:val="0"/>
      <w:marBottom w:val="0"/>
      <w:divBdr>
        <w:top w:val="none" w:sz="0" w:space="0" w:color="auto"/>
        <w:left w:val="none" w:sz="0" w:space="0" w:color="auto"/>
        <w:bottom w:val="none" w:sz="0" w:space="0" w:color="auto"/>
        <w:right w:val="none" w:sz="0" w:space="0" w:color="auto"/>
      </w:divBdr>
      <w:divsChild>
        <w:div w:id="21134052">
          <w:marLeft w:val="1440"/>
          <w:marRight w:val="0"/>
          <w:marTop w:val="240"/>
          <w:marBottom w:val="0"/>
          <w:divBdr>
            <w:top w:val="none" w:sz="0" w:space="0" w:color="auto"/>
            <w:left w:val="none" w:sz="0" w:space="0" w:color="auto"/>
            <w:bottom w:val="none" w:sz="0" w:space="0" w:color="auto"/>
            <w:right w:val="none" w:sz="0" w:space="0" w:color="auto"/>
          </w:divBdr>
        </w:div>
      </w:divsChild>
    </w:div>
    <w:div w:id="12537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vijet-kvalitete.com/index.php/upravljanje-kvalitetom/1535-principi-tqm-a"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ming.org" TargetMode="External"/><Relationship Id="rId17" Type="http://schemas.openxmlformats.org/officeDocument/2006/relationships/hyperlink" Target="https://kanbanzone.com/resources/lean/toyota-production-system/poka-yoke/" TargetMode="External"/><Relationship Id="rId2" Type="http://schemas.openxmlformats.org/officeDocument/2006/relationships/numbering" Target="numbering.xml"/><Relationship Id="rId16" Type="http://schemas.openxmlformats.org/officeDocument/2006/relationships/hyperlink" Target="https://kanbanzone.com/resources/lean/toyota-production-system/jidok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repository.svkri.uniri.hr/islandora/object/svkri:3346/preview" TargetMode="External"/><Relationship Id="rId5" Type="http://schemas.openxmlformats.org/officeDocument/2006/relationships/webSettings" Target="webSettings.xml"/><Relationship Id="rId15" Type="http://schemas.openxmlformats.org/officeDocument/2006/relationships/hyperlink" Target="https://mag.toyota.co.uk/kaizen-toyota-production-system/" TargetMode="External"/><Relationship Id="rId10" Type="http://schemas.openxmlformats.org/officeDocument/2006/relationships/hyperlink" Target="https://asq.org/about-asq/honorary-members/shewhar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global.toyota/en/company/profil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F5C50-CCB9-4078-A5A0-33E27737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4761</Words>
  <Characters>27139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Jure Marinov</cp:lastModifiedBy>
  <cp:revision>3</cp:revision>
  <cp:lastPrinted>2012-11-30T11:54:00Z</cp:lastPrinted>
  <dcterms:created xsi:type="dcterms:W3CDTF">2023-05-06T10:16:00Z</dcterms:created>
  <dcterms:modified xsi:type="dcterms:W3CDTF">2023-05-06T11:04:00Z</dcterms:modified>
</cp:coreProperties>
</file>